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64" w:firstLineChars="20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eastAsia="zh-CN"/>
        </w:rPr>
        <w:t>关于《威海市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eastAsia="zh-CN"/>
        </w:rPr>
        <w:t>洗砂行业管理规范》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val="en-US" w:eastAsia="zh-CN"/>
        </w:rPr>
        <w:t>征求意见稿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eastAsia="zh-CN"/>
        </w:rPr>
        <w:t>）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val="en-US" w:eastAsia="zh-CN"/>
        </w:rPr>
        <w:t>的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eastAsia="zh-CN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一、起草背景和过程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为切实保护自然资源，进一步加强我市沙场、洗沙场及机制砂厂管理，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有效解决沙场扬尘污染、污水直排等环境问题，推动空气、水环境质量明显改善，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促进洗砂行业健康有序发展，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起草了《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威海市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洗砂行业管理规范》（征求意见稿），为洗砂企业行业管理提供制度依据，进一步提升洗砂行业规范化管理水平。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制定依据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《中华人民共和国土地管理法》《中华人民共和国矿产资源法》《中华人民共和国大气污染防治法》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《中华人民共和国水污染防治法》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《中华人民共和国安全生产法》《中华人民共和国海岛保护法》《山东省水资源条例》《山东省森林资源条例》《山东省海洋环境保护条例》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等法律、法规，结合我市实际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进行起草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主要内容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规范》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（草案征求意见稿）共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分七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章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第一章总则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主要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明确了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立法目的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依据、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适用范围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、基本原则等方面的内容。第二章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、第三章、第四章、第五章分别明确了部门职责、现场管理及交通运输、产品质量与职业教育、安全生产工作要求。第六章明确了监督管理工作要求。第七章附则规定了实施时间。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color="auto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D6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qFormat/>
    <w:uiPriority w:val="99"/>
    <w:pPr>
      <w:ind w:firstLine="420"/>
    </w:p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2023-02-16T09:48:07Z</dcterms:created>
  <dc:creator>Administrator</dc:creator>
  <cp:lastModifiedBy>Administrator</cp:lastModifiedBy>
  <dcterms:modified xsi:type="dcterms:W3CDTF">2023-02-16T09:48:17Z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