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5B4FF">
      <w:pPr>
        <w:keepNext w:val="0"/>
        <w:keepLines w:val="0"/>
        <w:pageBreakBefore w:val="0"/>
        <w:widowControl w:val="0"/>
        <w:kinsoku/>
        <w:wordWrap/>
        <w:overflowPunct/>
        <w:topLinePunct w:val="0"/>
        <w:autoSpaceDE w:val="0"/>
        <w:autoSpaceDN w:val="0"/>
        <w:bidi w:val="0"/>
        <w:adjustRightInd w:val="0"/>
        <w:snapToGrid w:val="0"/>
        <w:spacing w:line="560" w:lineRule="exact"/>
        <w:ind w:right="0"/>
        <w:jc w:val="both"/>
        <w:textAlignment w:val="baseline"/>
        <w:outlineLvl w:val="0"/>
        <w:rPr>
          <w:rFonts w:hint="eastAsia" w:ascii="仿宋_GB2312" w:hAnsi="仿宋_GB2312" w:eastAsia="仿宋_GB2312" w:cs="仿宋_GB2312"/>
          <w:b w:val="0"/>
          <w:bCs w:val="0"/>
          <w:color w:val="auto"/>
          <w:spacing w:val="30"/>
          <w:sz w:val="36"/>
          <w:szCs w:val="36"/>
          <w:shd w:val="clear" w:color="auto" w:fill="auto"/>
          <w:lang w:val="en-US" w:eastAsia="zh-CN"/>
          <w14:textOutline w14:w="6350" w14:cap="flat" w14:cmpd="sng">
            <w14:solidFill>
              <w14:srgbClr w14:val="000000"/>
            </w14:solidFill>
            <w14:prstDash w14:val="solid"/>
            <w14:miter w14:val="0"/>
          </w14:textOutline>
        </w:rPr>
      </w:pPr>
      <w:r>
        <w:rPr>
          <w:rFonts w:hint="eastAsia" w:ascii="仿宋_GB2312" w:hAnsi="仿宋_GB2312" w:eastAsia="仿宋_GB2312" w:cs="仿宋_GB2312"/>
          <w:b w:val="0"/>
          <w:bCs w:val="0"/>
          <w:color w:val="auto"/>
          <w:spacing w:val="30"/>
          <w:sz w:val="36"/>
          <w:szCs w:val="36"/>
          <w:shd w:val="clear" w:color="auto" w:fill="auto"/>
          <w:lang w:eastAsia="zh-CN"/>
          <w14:textOutline w14:w="6350" w14:cap="flat" w14:cmpd="sng">
            <w14:solidFill>
              <w14:srgbClr w14:val="000000"/>
            </w14:solidFill>
            <w14:prstDash w14:val="solid"/>
            <w14:miter w14:val="0"/>
          </w14:textOutline>
        </w:rPr>
        <w:t>附件</w:t>
      </w:r>
      <w:r>
        <w:rPr>
          <w:rFonts w:hint="eastAsia" w:ascii="仿宋_GB2312" w:hAnsi="仿宋_GB2312" w:eastAsia="仿宋_GB2312" w:cs="仿宋_GB2312"/>
          <w:b w:val="0"/>
          <w:bCs w:val="0"/>
          <w:color w:val="auto"/>
          <w:spacing w:val="30"/>
          <w:sz w:val="36"/>
          <w:szCs w:val="36"/>
          <w:shd w:val="clear" w:color="auto" w:fill="auto"/>
          <w:lang w:val="en-US" w:eastAsia="zh-CN"/>
          <w14:textOutline w14:w="6350" w14:cap="flat" w14:cmpd="sng">
            <w14:solidFill>
              <w14:srgbClr w14:val="000000"/>
            </w14:solidFill>
            <w14:prstDash w14:val="solid"/>
            <w14:miter w14:val="0"/>
          </w14:textOutline>
        </w:rPr>
        <w:t>2</w:t>
      </w:r>
    </w:p>
    <w:p w14:paraId="09EDE5BC">
      <w:pPr>
        <w:keepNext w:val="0"/>
        <w:keepLines w:val="0"/>
        <w:pageBreakBefore w:val="0"/>
        <w:widowControl w:val="0"/>
        <w:kinsoku/>
        <w:wordWrap/>
        <w:overflowPunct/>
        <w:topLinePunct w:val="0"/>
        <w:autoSpaceDE w:val="0"/>
        <w:autoSpaceDN w:val="0"/>
        <w:bidi w:val="0"/>
        <w:adjustRightInd w:val="0"/>
        <w:snapToGrid w:val="0"/>
        <w:spacing w:line="560" w:lineRule="exact"/>
        <w:ind w:right="0"/>
        <w:jc w:val="center"/>
        <w:textAlignment w:val="baseline"/>
        <w:outlineLvl w:val="0"/>
        <w:rPr>
          <w:rFonts w:hint="eastAsia" w:ascii="方正小标宋简体" w:hAnsi="方正小标宋简体" w:eastAsia="方正小标宋简体" w:cs="方正小标宋简体"/>
          <w:b w:val="0"/>
          <w:bCs w:val="0"/>
          <w:color w:val="auto"/>
          <w:spacing w:val="30"/>
          <w:sz w:val="44"/>
          <w:szCs w:val="44"/>
          <w:shd w:val="clear" w:color="auto" w:fill="auto"/>
          <w14:textOutline w14:w="6350" w14:cap="flat" w14:cmpd="sng">
            <w14:solidFill>
              <w14:srgbClr w14:val="000000"/>
            </w14:solidFill>
            <w14:prstDash w14:val="solid"/>
            <w14:miter w14:val="0"/>
          </w14:textOutline>
        </w:rPr>
      </w:pPr>
    </w:p>
    <w:p w14:paraId="42CEB04A">
      <w:pPr>
        <w:keepNext w:val="0"/>
        <w:keepLines w:val="0"/>
        <w:pageBreakBefore w:val="0"/>
        <w:widowControl w:val="0"/>
        <w:kinsoku/>
        <w:wordWrap/>
        <w:overflowPunct/>
        <w:topLinePunct w:val="0"/>
        <w:autoSpaceDE w:val="0"/>
        <w:autoSpaceDN w:val="0"/>
        <w:bidi w:val="0"/>
        <w:adjustRightInd w:val="0"/>
        <w:snapToGrid w:val="0"/>
        <w:spacing w:line="560" w:lineRule="exact"/>
        <w:ind w:right="0"/>
        <w:jc w:val="center"/>
        <w:textAlignment w:val="baseline"/>
        <w:outlineLvl w:val="0"/>
        <w:rPr>
          <w:rFonts w:hint="eastAsia" w:ascii="方正小标宋简体" w:hAnsi="方正小标宋简体" w:eastAsia="方正小标宋简体" w:cs="方正小标宋简体"/>
          <w:b w:val="0"/>
          <w:bCs w:val="0"/>
          <w:color w:val="auto"/>
          <w:sz w:val="44"/>
          <w:szCs w:val="44"/>
          <w:shd w:val="clear" w:color="auto" w:fill="auto"/>
        </w:rPr>
      </w:pPr>
      <w:r>
        <w:rPr>
          <w:rFonts w:hint="eastAsia" w:ascii="方正小标宋简体" w:hAnsi="方正小标宋简体" w:eastAsia="方正小标宋简体" w:cs="方正小标宋简体"/>
          <w:b w:val="0"/>
          <w:bCs w:val="0"/>
          <w:color w:val="auto"/>
          <w:spacing w:val="30"/>
          <w:sz w:val="44"/>
          <w:szCs w:val="44"/>
          <w:shd w:val="clear" w:color="auto" w:fill="auto"/>
          <w14:textOutline w14:w="6350" w14:cap="flat" w14:cmpd="sng">
            <w14:solidFill>
              <w14:srgbClr w14:val="000000"/>
            </w14:solidFill>
            <w14:prstDash w14:val="solid"/>
            <w14:miter w14:val="0"/>
          </w14:textOutline>
        </w:rPr>
        <w:t>网上</w:t>
      </w:r>
      <w:r>
        <w:rPr>
          <w:rFonts w:hint="eastAsia" w:ascii="方正小标宋简体" w:hAnsi="方正小标宋简体" w:eastAsia="方正小标宋简体" w:cs="方正小标宋简体"/>
          <w:b w:val="0"/>
          <w:bCs w:val="0"/>
          <w:color w:val="auto"/>
          <w:spacing w:val="30"/>
          <w:sz w:val="44"/>
          <w:szCs w:val="44"/>
          <w:shd w:val="clear" w:color="auto" w:fill="auto"/>
          <w:lang w:val="en-US" w:eastAsia="zh-CN"/>
          <w14:textOutline w14:w="6350" w14:cap="flat" w14:cmpd="sng">
            <w14:solidFill>
              <w14:srgbClr w14:val="000000"/>
            </w14:solidFill>
            <w14:prstDash w14:val="solid"/>
            <w14:miter w14:val="0"/>
          </w14:textOutline>
        </w:rPr>
        <w:t>填报</w:t>
      </w:r>
      <w:r>
        <w:rPr>
          <w:rFonts w:hint="eastAsia" w:ascii="方正小标宋简体" w:hAnsi="方正小标宋简体" w:eastAsia="方正小标宋简体" w:cs="方正小标宋简体"/>
          <w:b w:val="0"/>
          <w:bCs w:val="0"/>
          <w:color w:val="auto"/>
          <w:spacing w:val="30"/>
          <w:sz w:val="44"/>
          <w:szCs w:val="44"/>
          <w:shd w:val="clear" w:color="auto" w:fill="auto"/>
          <w14:textOutline w14:w="6350" w14:cap="flat" w14:cmpd="sng">
            <w14:solidFill>
              <w14:srgbClr w14:val="000000"/>
            </w14:solidFill>
            <w14:prstDash w14:val="solid"/>
            <w14:miter w14:val="0"/>
          </w14:textOutline>
        </w:rPr>
        <w:t>“明白纸”</w:t>
      </w:r>
    </w:p>
    <w:p w14:paraId="4A38380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z w:val="32"/>
          <w:szCs w:val="32"/>
          <w:shd w:val="clear" w:color="auto" w:fill="auto"/>
        </w:rPr>
      </w:pPr>
    </w:p>
    <w:p w14:paraId="3FEA26B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z w:val="32"/>
          <w:szCs w:val="32"/>
          <w:shd w:val="clear" w:color="auto" w:fill="auto"/>
        </w:rPr>
      </w:pPr>
      <w:r>
        <w:rPr>
          <w:rFonts w:hint="eastAsia" w:ascii="黑体" w:hAnsi="黑体" w:eastAsia="黑体" w:cs="黑体"/>
          <w:color w:val="auto"/>
          <w:spacing w:val="7"/>
          <w:sz w:val="32"/>
          <w:szCs w:val="32"/>
          <w:shd w:val="clear" w:color="auto" w:fill="auto"/>
        </w:rPr>
        <w:t>一、填报基本要求</w:t>
      </w:r>
    </w:p>
    <w:p w14:paraId="0A243A19">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1</w:t>
      </w:r>
      <w:r>
        <w:rPr>
          <w:rFonts w:hint="eastAsia" w:ascii="仿宋_GB2312" w:hAnsi="仿宋_GB2312" w:eastAsia="仿宋_GB2312" w:cs="仿宋_GB2312"/>
          <w:color w:val="auto"/>
          <w:spacing w:val="3"/>
          <w:sz w:val="32"/>
          <w:szCs w:val="32"/>
          <w:shd w:val="clear" w:color="auto" w:fill="auto"/>
        </w:rPr>
        <w:t>.同一填报项附件内容超过2页的，需逐页扫描并合并成一个PDF上传，便于评审专家在同一界面查阅。</w:t>
      </w:r>
    </w:p>
    <w:p w14:paraId="399915A1">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2</w:t>
      </w:r>
      <w:r>
        <w:rPr>
          <w:rFonts w:hint="eastAsia" w:ascii="仿宋_GB2312" w:hAnsi="仿宋_GB2312" w:eastAsia="仿宋_GB2312" w:cs="仿宋_GB2312"/>
          <w:color w:val="auto"/>
          <w:spacing w:val="3"/>
          <w:sz w:val="32"/>
          <w:szCs w:val="32"/>
          <w:shd w:val="clear" w:color="auto" w:fill="auto"/>
        </w:rPr>
        <w:t>.网络申报数据如有改动，对应纸质版《山东省专业技术职称评审表》（以下简称评审表）需重新打印盖章，确保信息准确完整。</w:t>
      </w:r>
    </w:p>
    <w:p w14:paraId="01C48C4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二、申报信息</w:t>
      </w:r>
    </w:p>
    <w:p w14:paraId="067CC1E3">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1.“申报系列”选择“建设工程”。</w:t>
      </w:r>
      <w:r>
        <w:rPr>
          <w:rFonts w:hint="eastAsia" w:ascii="仿宋_GB2312" w:hAnsi="仿宋_GB2312" w:eastAsia="仿宋_GB2312" w:cs="仿宋_GB2312"/>
          <w:color w:val="auto"/>
          <w:sz w:val="32"/>
          <w:szCs w:val="32"/>
          <w:shd w:val="clear" w:color="auto" w:fill="auto"/>
        </w:rPr>
        <w:t>基层建设工程技术“申报系列”为“基层工程技术”。</w:t>
      </w:r>
    </w:p>
    <w:p w14:paraId="0A4BED59">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2.“申报方式”选择破格晋升、高层次人才“直通车”、非企事业单位交流到企事业单位人员、“专精特新”举荐申报的，需上传申报方式证明材料，正常晋升、改系列评审、复合型评审、高技能人才贯通等方式申报的无需上传。</w:t>
      </w:r>
    </w:p>
    <w:p w14:paraId="1266323A">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1</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破格晋升：需上传《破格申报推荐表》、2名本专业或相近专业正高级工程师签字的推荐函及推荐人职称证书扫描件；</w:t>
      </w:r>
    </w:p>
    <w:p w14:paraId="7F51AB78">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2</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高层次人才“直通车”：需上传满足《山东省高层次专业技术人才高级职称评审“直通车”暂行办法》申报条件的佐</w:t>
      </w:r>
      <w:r>
        <w:rPr>
          <w:rFonts w:hint="eastAsia" w:ascii="仿宋_GB2312" w:hAnsi="仿宋_GB2312" w:eastAsia="仿宋_GB2312" w:cs="仿宋_GB2312"/>
          <w:color w:val="auto"/>
          <w:spacing w:val="3"/>
          <w:sz w:val="32"/>
          <w:szCs w:val="32"/>
          <w:shd w:val="clear" w:color="auto" w:fill="auto"/>
          <w:lang w:val="en-US" w:eastAsia="zh-CN"/>
        </w:rPr>
        <w:t>证</w:t>
      </w:r>
      <w:r>
        <w:rPr>
          <w:rFonts w:hint="eastAsia" w:ascii="仿宋_GB2312" w:hAnsi="仿宋_GB2312" w:eastAsia="仿宋_GB2312" w:cs="仿宋_GB2312"/>
          <w:color w:val="auto"/>
          <w:spacing w:val="3"/>
          <w:sz w:val="32"/>
          <w:szCs w:val="32"/>
          <w:shd w:val="clear" w:color="auto" w:fill="auto"/>
        </w:rPr>
        <w:t>材料；</w:t>
      </w:r>
    </w:p>
    <w:p w14:paraId="3A07876C">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3</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非企事业单位交流到企事业单位人员：需上传到企事业单位任职文件</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劳动合同、所在单位及主管单位出具的从事专业技术工作证明等；</w:t>
      </w:r>
    </w:p>
    <w:p w14:paraId="3466043C">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4</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专精特新”举荐申报：需上传经举荐人签字并加盖公章的举荐报告</w:t>
      </w:r>
      <w:r>
        <w:rPr>
          <w:rFonts w:hint="eastAsia" w:ascii="仿宋_GB2312" w:hAnsi="仿宋_GB2312" w:eastAsia="仿宋_GB2312" w:cs="仿宋_GB2312"/>
          <w:color w:val="auto"/>
          <w:spacing w:val="3"/>
          <w:sz w:val="32"/>
          <w:szCs w:val="32"/>
          <w:shd w:val="clear" w:color="auto" w:fill="auto"/>
          <w:lang w:eastAsia="zh-CN"/>
        </w:rPr>
        <w:t>（附件</w:t>
      </w:r>
      <w:r>
        <w:rPr>
          <w:rFonts w:hint="eastAsia" w:ascii="仿宋_GB2312" w:hAnsi="仿宋_GB2312" w:eastAsia="仿宋_GB2312" w:cs="仿宋_GB2312"/>
          <w:color w:val="auto"/>
          <w:spacing w:val="3"/>
          <w:sz w:val="32"/>
          <w:szCs w:val="32"/>
          <w:shd w:val="clear" w:color="auto" w:fill="auto"/>
          <w:lang w:val="en-US" w:eastAsia="zh-CN"/>
        </w:rPr>
        <w:t>11</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、举荐人身份证复印件、在企业连续参保6个月的社保证明及劳动合同（在岗工作时间不得少于6个月）</w:t>
      </w:r>
      <w:r>
        <w:rPr>
          <w:rFonts w:hint="eastAsia" w:ascii="仿宋_GB2312" w:hAnsi="仿宋_GB2312" w:eastAsia="仿宋_GB2312" w:cs="仿宋_GB2312"/>
          <w:color w:val="auto"/>
          <w:spacing w:val="3"/>
          <w:sz w:val="32"/>
          <w:szCs w:val="32"/>
          <w:shd w:val="clear" w:color="auto" w:fill="auto"/>
          <w:lang w:eastAsia="zh-CN"/>
        </w:rPr>
        <w:t>、工作经历证明。</w:t>
      </w:r>
    </w:p>
    <w:p w14:paraId="53B02863">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5</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微软雅黑" w:eastAsia="仿宋_GB2312" w:cs="仿宋_GB2312"/>
          <w:i w:val="0"/>
          <w:iCs w:val="0"/>
          <w:caps w:val="0"/>
          <w:color w:val="auto"/>
          <w:spacing w:val="0"/>
          <w:sz w:val="31"/>
          <w:szCs w:val="31"/>
          <w:shd w:val="clear" w:color="auto" w:fill="auto"/>
          <w:lang w:eastAsia="zh-CN"/>
        </w:rPr>
        <w:t>改系列评审的需提供原《专业技术职务评审表》复印件，并由单位人事部门或档案管理部门签字、加盖印章后扫描上传；</w:t>
      </w:r>
    </w:p>
    <w:p w14:paraId="24C69CFB">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3.“申报单位”：查找选择本人工作单位名称（系统提供模糊查询功能）。如果无本人所在工作单位的名称，请及时与所在单位联系，确定是否已经注册并提交成功。</w:t>
      </w:r>
      <w:r>
        <w:rPr>
          <w:rFonts w:hint="eastAsia" w:ascii="仿宋_GB2312" w:hAnsi="仿宋_GB2312" w:eastAsia="仿宋_GB2312" w:cs="仿宋_GB2312"/>
          <w:color w:val="auto"/>
          <w:sz w:val="32"/>
          <w:szCs w:val="32"/>
          <w:shd w:val="clear" w:color="auto" w:fill="auto"/>
        </w:rPr>
        <w:t>单位信息必须为单位名称的全称，</w:t>
      </w:r>
      <w:r>
        <w:rPr>
          <w:rFonts w:hint="eastAsia" w:ascii="仿宋_GB2312" w:hAnsi="仿宋_GB2312" w:eastAsia="仿宋_GB2312" w:cs="仿宋_GB2312"/>
          <w:color w:val="auto"/>
          <w:sz w:val="32"/>
          <w:szCs w:val="32"/>
          <w:shd w:val="clear" w:color="auto" w:fill="auto"/>
          <w:lang w:val="en-US" w:eastAsia="zh-CN"/>
        </w:rPr>
        <w:t>与单位公章一致，不得填写简称、别称。</w:t>
      </w:r>
    </w:p>
    <w:p w14:paraId="1A08B059">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right="0" w:rightChars="0" w:firstLine="640"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z w:val="32"/>
          <w:szCs w:val="32"/>
          <w:shd w:val="clear" w:color="auto" w:fill="auto"/>
          <w:lang w:val="en-US" w:eastAsia="zh-CN"/>
        </w:rPr>
        <w:t>4.</w:t>
      </w:r>
      <w:r>
        <w:rPr>
          <w:rFonts w:hint="eastAsia" w:ascii="仿宋_GB2312" w:hAnsi="仿宋_GB2312" w:eastAsia="仿宋_GB2312" w:cs="仿宋_GB2312"/>
          <w:color w:val="auto"/>
          <w:sz w:val="32"/>
          <w:szCs w:val="32"/>
          <w:shd w:val="clear" w:color="auto" w:fill="auto"/>
        </w:rPr>
        <w:t>“单位推荐排序”须按单位推荐排序填写，不得空缺</w:t>
      </w:r>
      <w:r>
        <w:rPr>
          <w:rFonts w:hint="eastAsia" w:ascii="仿宋_GB2312" w:hAnsi="仿宋_GB2312" w:eastAsia="仿宋_GB2312" w:cs="仿宋_GB2312"/>
          <w:color w:val="auto"/>
          <w:sz w:val="32"/>
          <w:szCs w:val="32"/>
          <w:shd w:val="clear" w:color="auto" w:fill="auto"/>
          <w:lang w:eastAsia="zh-CN"/>
        </w:rPr>
        <w:t>。</w:t>
      </w:r>
    </w:p>
    <w:p w14:paraId="08D45B6D">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5.“与申报单位关系”分为：正式职工、劳务派遣、人事代理、自由职业者。如果“申报单位”是本人的实际劳动关系单位，就在“与申报单位关系”下拉框中选“正式职工”。否则，在下拉框中选“劳务派遣”、“人事代理”或“自由职业者”。若选择人事代理、劳务派遣的，还需填写人事代理单位名称或劳务派遣单位名称。例：以1名威海***人力资源服务机构派遣到威海市人力资源和社会保障局工作的专业技术人员填报系统为例，“申报单位”选择：威海市人力资源和社会保障局，在“与申报单位关系”选“劳务派遣”，然后在“劳务派遣单位名称”填写：威海***人力资源服务机构。</w:t>
      </w:r>
    </w:p>
    <w:p w14:paraId="16E16CAA">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6.</w:t>
      </w:r>
      <w:r>
        <w:rPr>
          <w:rFonts w:hint="eastAsia" w:ascii="仿宋_GB2312" w:hAnsi="仿宋_GB2312" w:eastAsia="仿宋_GB2312" w:cs="仿宋_GB2312"/>
          <w:color w:val="auto"/>
          <w:spacing w:val="3"/>
          <w:sz w:val="32"/>
          <w:szCs w:val="32"/>
          <w:shd w:val="clear" w:color="auto" w:fill="auto"/>
        </w:rPr>
        <w:t>“参加工作时间”：应与人</w:t>
      </w:r>
      <w:r>
        <w:rPr>
          <w:rFonts w:hint="eastAsia" w:ascii="仿宋_GB2312" w:hAnsi="仿宋_GB2312" w:eastAsia="仿宋_GB2312" w:cs="仿宋_GB2312"/>
          <w:color w:val="auto"/>
          <w:spacing w:val="3"/>
          <w:sz w:val="32"/>
          <w:szCs w:val="32"/>
          <w:shd w:val="clear" w:color="auto" w:fill="auto"/>
          <w:lang w:val="en-US" w:eastAsia="zh-CN"/>
        </w:rPr>
        <w:t>事</w:t>
      </w:r>
      <w:r>
        <w:rPr>
          <w:rFonts w:hint="eastAsia" w:ascii="仿宋_GB2312" w:hAnsi="仿宋_GB2312" w:eastAsia="仿宋_GB2312" w:cs="仿宋_GB2312"/>
          <w:color w:val="auto"/>
          <w:spacing w:val="3"/>
          <w:sz w:val="32"/>
          <w:szCs w:val="32"/>
          <w:shd w:val="clear" w:color="auto" w:fill="auto"/>
        </w:rPr>
        <w:t>档案记录一致（在校期间的实习期不算）。</w:t>
      </w:r>
    </w:p>
    <w:p w14:paraId="58645DC0">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7</w:t>
      </w:r>
      <w:r>
        <w:rPr>
          <w:rFonts w:hint="eastAsia" w:ascii="仿宋_GB2312" w:hAnsi="仿宋_GB2312" w:eastAsia="仿宋_GB2312" w:cs="仿宋_GB2312"/>
          <w:color w:val="auto"/>
          <w:spacing w:val="3"/>
          <w:sz w:val="32"/>
          <w:szCs w:val="32"/>
          <w:shd w:val="clear" w:color="auto" w:fill="auto"/>
        </w:rPr>
        <w:t>.“专业工作年限”：毕业至今从事建设工程专业技术工作累计年限（未从事建设工程专技工作的时间不计算</w:t>
      </w:r>
      <w:r>
        <w:rPr>
          <w:rFonts w:hint="eastAsia" w:ascii="仿宋_GB2312" w:hAnsi="仿宋_GB2312" w:eastAsia="仿宋_GB2312" w:cs="仿宋_GB2312"/>
          <w:color w:val="auto"/>
          <w:spacing w:val="3"/>
          <w:sz w:val="32"/>
          <w:szCs w:val="32"/>
          <w:shd w:val="clear" w:color="auto" w:fill="auto"/>
          <w:lang w:eastAsia="zh-CN"/>
        </w:rPr>
        <w:t>，事业单位扣除管理岗工作年限</w:t>
      </w:r>
      <w:r>
        <w:rPr>
          <w:rFonts w:hint="eastAsia" w:ascii="仿宋_GB2312" w:hAnsi="仿宋_GB2312" w:eastAsia="仿宋_GB2312" w:cs="仿宋_GB2312"/>
          <w:color w:val="auto"/>
          <w:spacing w:val="3"/>
          <w:sz w:val="32"/>
          <w:szCs w:val="32"/>
          <w:shd w:val="clear" w:color="auto" w:fill="auto"/>
        </w:rPr>
        <w:t>）</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按周年计算，中间中断的，扣除间断时间累计计算</w:t>
      </w:r>
      <w:r>
        <w:rPr>
          <w:rFonts w:hint="eastAsia" w:ascii="仿宋_GB2312" w:hAnsi="仿宋_GB2312" w:eastAsia="仿宋_GB2312" w:cs="仿宋_GB2312"/>
          <w:color w:val="auto"/>
          <w:spacing w:val="3"/>
          <w:sz w:val="32"/>
          <w:szCs w:val="32"/>
          <w:shd w:val="clear" w:color="auto" w:fill="auto"/>
        </w:rPr>
        <w:t>。</w:t>
      </w:r>
    </w:p>
    <w:p w14:paraId="5A5317F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三、学历信息</w:t>
      </w:r>
    </w:p>
    <w:p w14:paraId="529D6B5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“学历信息”。包括：“全日制学历（学位）”、“评审依据学历（学位）”，并填写学信网验证码。</w:t>
      </w:r>
    </w:p>
    <w:p w14:paraId="186CB09B">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（1）全日制学历：指参加全日制教育取得的最高学历，按全日制学历毕业证书信息如实填写；</w:t>
      </w:r>
    </w:p>
    <w:p w14:paraId="4F266126">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（2）评审依据学历：指符合职称评审条件的学历，按评审依据学历的毕业证书信息如实填写。</w:t>
      </w:r>
    </w:p>
    <w:p w14:paraId="28BC775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其中，1970—1977年恢复高考制度以前入学的高等院校毕业生学历填写“大学普通班”；党校学历填写“中央（省、市委）党校研究生、大学、大专”；1993—1997年入学并取得“山东省干部教育验印专用章”验印的学业证书，填写“省业余大学、大专”。</w:t>
      </w:r>
    </w:p>
    <w:p w14:paraId="663906DE">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上传材料：学历、学位证书原件扫描件，单位出具的学信网查询的学历、学位信息验证报告；对于2001年之前取得学历的，须本人及时自行在学信网上进行高等学历认证申请，认证通过后上传相关认证材料。已完成干部人事档案专项审核的事业单位，应由用人单位提供申报人员《干部人事档案专项审核工作专用干部任免审批表》。</w:t>
      </w:r>
    </w:p>
    <w:p w14:paraId="2DEBFFF5">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学历学位查询网址：</w:t>
      </w:r>
    </w:p>
    <w:p w14:paraId="589CF08D">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中国高等教育学生信息网</w:t>
      </w:r>
      <w:r>
        <w:rPr>
          <w:rFonts w:hint="eastAsia" w:ascii="仿宋_GB2312" w:hAnsi="仿宋_GB2312" w:eastAsia="仿宋_GB2312" w:cs="仿宋_GB2312"/>
          <w:color w:val="auto"/>
          <w:spacing w:val="3"/>
          <w:sz w:val="32"/>
          <w:szCs w:val="32"/>
          <w:shd w:val="clear" w:color="auto" w:fill="auto"/>
        </w:rPr>
        <w:fldChar w:fldCharType="begin"/>
      </w:r>
      <w:r>
        <w:rPr>
          <w:rFonts w:hint="eastAsia" w:ascii="仿宋_GB2312" w:hAnsi="仿宋_GB2312" w:eastAsia="仿宋_GB2312" w:cs="仿宋_GB2312"/>
          <w:color w:val="auto"/>
          <w:spacing w:val="3"/>
          <w:sz w:val="32"/>
          <w:szCs w:val="32"/>
          <w:shd w:val="clear" w:color="auto" w:fill="auto"/>
        </w:rPr>
        <w:instrText xml:space="preserve"> HYPERLINK "https://www.chsi.com.cn/" </w:instrText>
      </w:r>
      <w:r>
        <w:rPr>
          <w:rFonts w:hint="eastAsia" w:ascii="仿宋_GB2312" w:hAnsi="仿宋_GB2312" w:eastAsia="仿宋_GB2312" w:cs="仿宋_GB2312"/>
          <w:color w:val="auto"/>
          <w:spacing w:val="3"/>
          <w:sz w:val="32"/>
          <w:szCs w:val="32"/>
          <w:shd w:val="clear" w:color="auto" w:fill="auto"/>
        </w:rPr>
        <w:fldChar w:fldCharType="separate"/>
      </w:r>
      <w:r>
        <w:rPr>
          <w:rFonts w:hint="eastAsia" w:ascii="仿宋_GB2312" w:hAnsi="仿宋_GB2312" w:eastAsia="仿宋_GB2312" w:cs="仿宋_GB2312"/>
          <w:color w:val="auto"/>
          <w:spacing w:val="3"/>
          <w:sz w:val="32"/>
          <w:szCs w:val="32"/>
          <w:shd w:val="clear" w:color="auto" w:fill="auto"/>
        </w:rPr>
        <w:t>https://www.chsi.com.cn/</w:t>
      </w:r>
      <w:r>
        <w:rPr>
          <w:rFonts w:hint="eastAsia" w:ascii="仿宋_GB2312" w:hAnsi="仿宋_GB2312" w:eastAsia="仿宋_GB2312" w:cs="仿宋_GB2312"/>
          <w:color w:val="auto"/>
          <w:spacing w:val="3"/>
          <w:sz w:val="32"/>
          <w:szCs w:val="32"/>
          <w:shd w:val="clear" w:color="auto" w:fill="auto"/>
        </w:rPr>
        <w:fldChar w:fldCharType="end"/>
      </w:r>
    </w:p>
    <w:p w14:paraId="0A4DA870">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中国学位与研究生教育信息网http://www.cdgdc.edu.cn/</w:t>
      </w:r>
    </w:p>
    <w:p w14:paraId="15570C6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教育部留学服务中心网站http://www.cscse.edu.cn</w:t>
      </w:r>
    </w:p>
    <w:p w14:paraId="28AD9486">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山东党校干部继续教育网</w:t>
      </w:r>
    </w:p>
    <w:p w14:paraId="40D01F9F">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http://school.532t.com/common/loginby</w:t>
      </w:r>
    </w:p>
    <w:p w14:paraId="15AE480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四、现专业技术职称、职业资格</w:t>
      </w:r>
    </w:p>
    <w:p w14:paraId="467BD97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rPr>
        <w:t>1.职称证书、职业资格证书需上传完整内容页。现职称证书丢失的，需上传《评审表》原件扫描件（提供复印件的需加盖人事档案管理部门公章）</w:t>
      </w:r>
      <w:r>
        <w:rPr>
          <w:rFonts w:hint="eastAsia" w:ascii="仿宋_GB2312" w:hAnsi="仿宋_GB2312" w:eastAsia="仿宋_GB2312" w:cs="仿宋_GB2312"/>
          <w:color w:val="auto"/>
          <w:spacing w:val="3"/>
          <w:sz w:val="32"/>
          <w:szCs w:val="32"/>
          <w:shd w:val="clear" w:color="auto" w:fill="auto"/>
          <w:lang w:eastAsia="zh-CN"/>
        </w:rPr>
        <w:t>。</w:t>
      </w:r>
    </w:p>
    <w:p w14:paraId="24DE2A96">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2.申报方式为复合型评审的，需一并上传现职称所对应的《评审表》原件扫描件（提供复印件的需加盖人事档案管理部门公章）。</w:t>
      </w:r>
    </w:p>
    <w:p w14:paraId="27261FC9">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3.“获得现职称（职业资格）时间”：按照职称证书、职业资格证书所注明资格生效时间填写。</w:t>
      </w:r>
    </w:p>
    <w:p w14:paraId="1EED42F4">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left"/>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经评审取得职称的，2021年5月1日前取得的职称资格从公布之日起算；2021年5月1日后取得的职称资格从评审通过之日起算。</w:t>
      </w:r>
    </w:p>
    <w:p w14:paraId="3885FDB8">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经考试取得职称的，从考试最后一天（生效时间）起算。</w:t>
      </w:r>
    </w:p>
    <w:p w14:paraId="2528E27E">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正规全日制院校毕业生认定取得职称的，从具有职称管理权限的人力资源社会保障部门或者主管部门审批之日起算。</w:t>
      </w:r>
    </w:p>
    <w:p w14:paraId="0ECE1DB7">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考试取得专业技术类职业资格的，以证书批准时间起算。</w:t>
      </w:r>
    </w:p>
    <w:p w14:paraId="6CDAEB61">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4.“聘任时间”：指现专业技术职称第一次受聘时间，而非获得资格时间，</w:t>
      </w:r>
      <w:r>
        <w:rPr>
          <w:rFonts w:hint="eastAsia" w:ascii="仿宋_GB2312" w:hAnsi="仿宋_GB2312" w:eastAsia="仿宋_GB2312" w:cs="仿宋_GB2312"/>
          <w:color w:val="auto"/>
          <w:spacing w:val="3"/>
          <w:sz w:val="32"/>
          <w:szCs w:val="32"/>
          <w:shd w:val="clear" w:color="auto" w:fill="auto"/>
          <w:lang w:val="en-US" w:eastAsia="zh-CN"/>
        </w:rPr>
        <w:t>如填写，则</w:t>
      </w:r>
      <w:r>
        <w:rPr>
          <w:rFonts w:hint="eastAsia" w:ascii="仿宋_GB2312" w:hAnsi="仿宋_GB2312" w:eastAsia="仿宋_GB2312" w:cs="仿宋_GB2312"/>
          <w:color w:val="auto"/>
          <w:spacing w:val="3"/>
          <w:sz w:val="32"/>
          <w:szCs w:val="32"/>
          <w:shd w:val="clear" w:color="auto" w:fill="auto"/>
        </w:rPr>
        <w:t>需上传聘书或聘文。</w:t>
      </w:r>
    </w:p>
    <w:p w14:paraId="55CB808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聘任年限”：指聘任累计年限，计算时间截至2025年12月31日，每满12个月计算1年，填写整数。中间有间断，需要扣除间断时间。例：不满4年，则填3。如现专业技术职务资格是通过改系列评审取得，还应再“新增”改系列前的专业技术资格信息和聘任情况。</w:t>
      </w:r>
    </w:p>
    <w:p w14:paraId="6874A056">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5.“职业资格”。根据省《关于建立部分专业技术类职业资格和职称对应关系的通知》（鲁人社办发〔2019〕14号）规定，以考试取得职业资格作为评审依据的，只需在“现专业技术职称”直接填“无”，“职业资格”、“获得职业资格时间”、“是否为本次评审依据”如实选择。若单位以职业资格为依据进行了聘任，还需填写“聘任时间”“聘任年限”。</w:t>
      </w:r>
    </w:p>
    <w:p w14:paraId="42D6A0BA">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上传材料：①现专业技术职务资格证书、职业资格证书。其中，由外地调入且已办理调入认定手续的人员，还须提供《外地调入人员专业技术职务资格审核确认登记表》。②聘书或聘任文件（与所填聘任年限相符），需连续提供至2025年12月底。未实行聘任的企业单位申报人员可不填写“聘任时间及年限”，且不需要提供聘书或聘任文件。③事业单位工程师聘任年限不满5年的，还需上传聘任在初级工程岗位上的聘书或聘任文件等相关证明材料，总年限满足5年。</w:t>
      </w:r>
    </w:p>
    <w:p w14:paraId="7EE2D70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五、现任（含兼任）行政职务</w:t>
      </w:r>
    </w:p>
    <w:p w14:paraId="5CBD6CB5">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主要内容包括：“现任（含兼任）行政职务”、“任职时间”。如无行政职务，此处不需要填写。</w:t>
      </w:r>
    </w:p>
    <w:p w14:paraId="68943981">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上传材料：行政职务红头任命文件等相关佐证材料。事业单位“双肩挑”人员申报职称，因工作需要确需在专业技术岗位上兼职并按专业技术岗位进行管理的，按干部人事管理权限办理有关审批手续，上传《事业单位专业技术岗位兼职审批表》，没有聘用文件不予申报。</w:t>
      </w:r>
    </w:p>
    <w:p w14:paraId="6C92E0B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六、任现职以来考核情况信息</w:t>
      </w:r>
    </w:p>
    <w:p w14:paraId="6E1CF78F">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填写近5年的考核情况（按年度分开填写</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截至202</w:t>
      </w:r>
      <w:r>
        <w:rPr>
          <w:rFonts w:hint="eastAsia" w:ascii="仿宋_GB2312" w:hAnsi="仿宋_GB2312" w:eastAsia="仿宋_GB2312" w:cs="仿宋_GB2312"/>
          <w:color w:val="auto"/>
          <w:spacing w:val="3"/>
          <w:sz w:val="32"/>
          <w:szCs w:val="32"/>
          <w:shd w:val="clear" w:color="auto" w:fill="auto"/>
          <w:lang w:val="en-US" w:eastAsia="zh-CN"/>
        </w:rPr>
        <w:t>4</w:t>
      </w:r>
      <w:r>
        <w:rPr>
          <w:rFonts w:hint="eastAsia" w:ascii="仿宋_GB2312" w:hAnsi="仿宋_GB2312" w:eastAsia="仿宋_GB2312" w:cs="仿宋_GB2312"/>
          <w:color w:val="auto"/>
          <w:spacing w:val="3"/>
          <w:sz w:val="32"/>
          <w:szCs w:val="32"/>
          <w:shd w:val="clear" w:color="auto" w:fill="auto"/>
        </w:rPr>
        <w:t>年度），应按实际考核确定的等次填写。包括：“年份”、“受聘专业技术职务（岗位）”、“考核等次”和“考核单位”。受聘专业技术职务（岗位）需填写专业技术职称或专业技术岗位，不得填写行政职务。无专业技术职称写“无”。</w:t>
      </w:r>
    </w:p>
    <w:p w14:paraId="72D2757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rPr>
        <w:t>每年度新增一条信息，在当年度位置上传考核证明材料扫描件</w:t>
      </w:r>
      <w:r>
        <w:rPr>
          <w:rFonts w:hint="eastAsia" w:ascii="仿宋_GB2312" w:hAnsi="仿宋_GB2312" w:eastAsia="仿宋_GB2312" w:cs="仿宋_GB2312"/>
          <w:color w:val="auto"/>
          <w:spacing w:val="3"/>
          <w:sz w:val="32"/>
          <w:szCs w:val="32"/>
          <w:shd w:val="clear" w:color="auto" w:fill="auto"/>
          <w:lang w:eastAsia="zh-CN"/>
        </w:rPr>
        <w:t>（盖单位公章）</w:t>
      </w:r>
      <w:r>
        <w:rPr>
          <w:rFonts w:hint="eastAsia" w:ascii="仿宋_GB2312" w:hAnsi="仿宋_GB2312" w:eastAsia="仿宋_GB2312" w:cs="仿宋_GB2312"/>
          <w:color w:val="auto"/>
          <w:spacing w:val="3"/>
          <w:sz w:val="32"/>
          <w:szCs w:val="32"/>
          <w:shd w:val="clear" w:color="auto" w:fill="auto"/>
        </w:rPr>
        <w:t>。</w:t>
      </w:r>
      <w:r>
        <w:rPr>
          <w:rFonts w:hint="eastAsia" w:ascii="仿宋_GB2312" w:hAnsi="仿宋_GB2312" w:eastAsia="仿宋_GB2312" w:cs="仿宋_GB2312"/>
          <w:color w:val="auto"/>
          <w:spacing w:val="3"/>
          <w:sz w:val="32"/>
          <w:szCs w:val="32"/>
          <w:shd w:val="clear" w:color="auto" w:fill="auto"/>
          <w:lang w:eastAsia="zh-CN"/>
        </w:rPr>
        <w:t>事业单位可直接上传《事业单位工作人员年度考核表》（其中聘用岗位非专业技术岗位的，还需提供聘任专业技术岗位的《聘任审批表》原件扫描件）。</w:t>
      </w:r>
    </w:p>
    <w:p w14:paraId="766064B6">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七、继续教育</w:t>
      </w:r>
    </w:p>
    <w:p w14:paraId="6159E42A">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提供近5年学习培训及继续教育情况（截至202</w:t>
      </w:r>
      <w:r>
        <w:rPr>
          <w:rFonts w:hint="eastAsia" w:ascii="仿宋_GB2312" w:hAnsi="仿宋_GB2312" w:eastAsia="仿宋_GB2312" w:cs="仿宋_GB2312"/>
          <w:color w:val="auto"/>
          <w:spacing w:val="3"/>
          <w:sz w:val="32"/>
          <w:szCs w:val="32"/>
          <w:shd w:val="clear" w:color="auto" w:fill="auto"/>
          <w:lang w:val="en-US" w:eastAsia="zh-CN"/>
        </w:rPr>
        <w:t>5</w:t>
      </w:r>
      <w:r>
        <w:rPr>
          <w:rFonts w:hint="eastAsia" w:ascii="仿宋_GB2312" w:hAnsi="仿宋_GB2312" w:eastAsia="仿宋_GB2312" w:cs="仿宋_GB2312"/>
          <w:color w:val="auto"/>
          <w:spacing w:val="3"/>
          <w:sz w:val="32"/>
          <w:szCs w:val="32"/>
          <w:shd w:val="clear" w:color="auto" w:fill="auto"/>
        </w:rPr>
        <w:t>年），“职称申报评审系统”将自动从“山东省专业技术人员继续教育公共服务平台”提取近5年继续教育数据。</w:t>
      </w:r>
    </w:p>
    <w:p w14:paraId="5EF1DBE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八、工作经历</w:t>
      </w:r>
    </w:p>
    <w:p w14:paraId="33DDF364">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rPr>
        <w:t>据实填写，时间连贯。从参加工作时间填起，应与人事档案记录一致</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系统设置不超过6条，请适当合并</w:t>
      </w:r>
      <w:r>
        <w:rPr>
          <w:rFonts w:hint="eastAsia" w:ascii="仿宋_GB2312" w:hAnsi="仿宋_GB2312" w:eastAsia="仿宋_GB2312" w:cs="仿宋_GB2312"/>
          <w:color w:val="auto"/>
          <w:spacing w:val="3"/>
          <w:sz w:val="32"/>
          <w:szCs w:val="32"/>
          <w:shd w:val="clear" w:color="auto" w:fill="auto"/>
          <w:lang w:eastAsia="zh-CN"/>
        </w:rPr>
        <w:t>。</w:t>
      </w:r>
    </w:p>
    <w:p w14:paraId="561D3F6E">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1.“单位及科室（部门）”按实际情况填写，格式：xx单位/xx科室（部门），专业技术岗位发生调整的应分时间段填写清楚。</w:t>
      </w:r>
    </w:p>
    <w:p w14:paraId="640B7643">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2.“从事专业技术工作”应按本时间段内所从事的工作岗位如实填写。</w:t>
      </w:r>
    </w:p>
    <w:p w14:paraId="672E0354">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3.“专业技术职称”如实填写，不填写行政职务。</w:t>
      </w:r>
    </w:p>
    <w:p w14:paraId="28D7FF5B">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注：工作经历如实连续填写，首段工作开始时间与参加工作时间须一致，上一段工作经历结束时间和下一段工作开始时间要一致，不得间断。如已完成干部人事档案专项审核的事业单位，应由用人单位提供申报人员《干部人事档案专项审核工作专用干部任免审批表》；企业人员上传劳动合同、社保缴费明细或企业出具的证明等佐证材料。其中，有援外、援藏、援疆、援青等经历的应提交相应佐证材料。</w:t>
      </w:r>
    </w:p>
    <w:p w14:paraId="774DE66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lang w:val="en-US" w:eastAsia="zh-CN"/>
        </w:rPr>
        <w:t>九、</w:t>
      </w:r>
      <w:r>
        <w:rPr>
          <w:rFonts w:hint="eastAsia" w:ascii="黑体" w:hAnsi="黑体" w:eastAsia="黑体" w:cs="黑体"/>
          <w:color w:val="auto"/>
          <w:spacing w:val="7"/>
          <w:sz w:val="32"/>
          <w:szCs w:val="32"/>
          <w:shd w:val="clear" w:color="auto" w:fill="auto"/>
        </w:rPr>
        <w:t>任现职以来取得的代表性成果</w:t>
      </w:r>
    </w:p>
    <w:p w14:paraId="5A917F88">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right="0" w:rightChars="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总数不超过15项，严格按类别分类填写，工法、技术标准（标准设计图集）、计价依据（定额）、导则以及其他不能对应类别的代表性成果填入“其他”一栏。所填报的代表性成果需已完成</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 xml:space="preserve">不允许填写取得现职称以前和无原件的业绩成果。“成果类别”从系统下拉列表中选择，有“论文/著作、获奖/表彰、课题/项目、专利、其他”。本栏填写本人取得现职称以来获得的且与申报专业相关的成果，并按时间排列顺序；同一成果的不同奖项只填写最高奖项。上传的所有附件，要将个人名字作显著标记。 </w:t>
      </w:r>
    </w:p>
    <w:p w14:paraId="00FE629D">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1.“时间”：一般以业绩成果证书或文件落款时间为准，论文著作以发表、出版时间为准，项目课题以结题或验收时间为准。</w:t>
      </w:r>
    </w:p>
    <w:p w14:paraId="056A299C">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2.“位次”：系个人独立完成的填写“1/1”</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与他人合作完成的，按照“申报人位次/总人数”格式填写（如：3人合作完成，申报人为第1位，填写为“1/3”）。</w:t>
      </w:r>
    </w:p>
    <w:p w14:paraId="2AF472F1">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3.填报格式：“获奖类型+成果名称（如：山东省工程建设泰山杯奖一等奖：*****）”；“专利类型+专利名称（如：发明专利：*****，实用新型专利：*****）”；“课题/科技计划项目+项目名称（如：课题：*****；科技计划项目：*****）”；“论文/著作+成果标题全称</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如：论文：</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；著作：</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）”，其他业绩成果可参照填写。</w:t>
      </w:r>
    </w:p>
    <w:p w14:paraId="2B1051E8">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4.上传证明材料：</w:t>
      </w:r>
    </w:p>
    <w:p w14:paraId="718705AF">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1</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奖项、工法：1、获奖证书上如直接有申报人员名字的，直接上传证书原件扫描件及佐证材料（网站公布检索截图）；2、奖项为单位集体奖项的，须上传证书原件扫描件及佐证材料（网站公布检索截图），还须提供中标通知书、竣工验收报告等能证明申报人员全程参与该项目的佐证材料。</w:t>
      </w:r>
    </w:p>
    <w:p w14:paraId="25DA76C3">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2</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课题需提供立项、开题、结题等材料；科技计划项目需上传立项、验收等材料；</w:t>
      </w:r>
      <w:r>
        <w:rPr>
          <w:rFonts w:hint="eastAsia" w:ascii="仿宋_GB2312" w:hAnsi="仿宋_GB2312" w:eastAsia="仿宋_GB2312" w:cs="仿宋_GB2312"/>
          <w:color w:val="auto"/>
          <w:spacing w:val="3"/>
          <w:sz w:val="32"/>
          <w:szCs w:val="32"/>
          <w:shd w:val="clear" w:color="auto" w:fill="auto"/>
          <w:lang w:val="en-US" w:eastAsia="zh-CN"/>
        </w:rPr>
        <w:t>已立项的科研项目，还应提供立项文件和已通过鉴定的鉴定表原件，且项目鉴定表课题承担人一页应有鉴定部门的公章。科研成果获奖的还应提供获奖证书及获奖公报（或光荣册）原件。上述材料页数较多无法上传系统的，可在申报材料时提交原件；</w:t>
      </w:r>
    </w:p>
    <w:p w14:paraId="006EDD4F">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3</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专利及标准</w:t>
      </w:r>
      <w:r>
        <w:rPr>
          <w:rFonts w:hint="eastAsia" w:ascii="仿宋_GB2312" w:hAnsi="仿宋_GB2312" w:eastAsia="仿宋_GB2312" w:cs="仿宋_GB2312"/>
          <w:color w:val="auto"/>
          <w:spacing w:val="3"/>
          <w:sz w:val="32"/>
          <w:szCs w:val="32"/>
          <w:shd w:val="clear" w:color="auto" w:fill="auto"/>
          <w:lang w:eastAsia="zh-CN"/>
        </w:rPr>
        <w:t>的</w:t>
      </w:r>
      <w:r>
        <w:rPr>
          <w:rFonts w:hint="eastAsia" w:ascii="仿宋_GB2312" w:hAnsi="仿宋_GB2312" w:eastAsia="仿宋_GB2312" w:cs="仿宋_GB2312"/>
          <w:color w:val="auto"/>
          <w:spacing w:val="3"/>
          <w:sz w:val="32"/>
          <w:szCs w:val="32"/>
          <w:shd w:val="clear" w:color="auto" w:fill="auto"/>
        </w:rPr>
        <w:t>内容必须与所报专业方向保持一致，不能用其他专业的专利来顶替。需上传专利证书原件扫描件（完整页）</w:t>
      </w:r>
      <w:r>
        <w:rPr>
          <w:rFonts w:hint="eastAsia" w:ascii="仿宋_GB2312" w:hAnsi="仿宋_GB2312" w:eastAsia="仿宋_GB2312" w:cs="仿宋_GB2312"/>
          <w:color w:val="auto"/>
          <w:spacing w:val="3"/>
          <w:sz w:val="32"/>
          <w:szCs w:val="32"/>
          <w:shd w:val="clear" w:color="auto" w:fill="auto"/>
          <w:lang w:eastAsia="zh-CN"/>
        </w:rPr>
        <w:t>、简介页、说明书、知识产权局</w:t>
      </w:r>
      <w:r>
        <w:rPr>
          <w:rFonts w:hint="eastAsia" w:ascii="仿宋_GB2312" w:hAnsi="仿宋_GB2312" w:eastAsia="仿宋_GB2312" w:cs="仿宋_GB2312"/>
          <w:color w:val="auto"/>
          <w:spacing w:val="3"/>
          <w:sz w:val="32"/>
          <w:szCs w:val="32"/>
          <w:shd w:val="clear" w:color="auto" w:fill="auto"/>
          <w:lang w:val="en-US" w:eastAsia="zh-CN"/>
        </w:rPr>
        <w:t>检索查询结果</w:t>
      </w:r>
      <w:r>
        <w:rPr>
          <w:rFonts w:hint="eastAsia" w:ascii="仿宋_GB2312" w:hAnsi="仿宋_GB2312" w:eastAsia="仿宋_GB2312" w:cs="仿宋_GB2312"/>
          <w:color w:val="auto"/>
          <w:spacing w:val="3"/>
          <w:sz w:val="32"/>
          <w:szCs w:val="32"/>
          <w:shd w:val="clear" w:color="auto" w:fill="auto"/>
        </w:rPr>
        <w:t>及在实践中推广应用的佐证材料</w:t>
      </w:r>
      <w:r>
        <w:rPr>
          <w:rFonts w:hint="eastAsia" w:ascii="仿宋_GB2312" w:hAnsi="仿宋_GB2312" w:eastAsia="仿宋_GB2312" w:cs="仿宋_GB2312"/>
          <w:color w:val="auto"/>
          <w:spacing w:val="3"/>
          <w:sz w:val="32"/>
          <w:szCs w:val="32"/>
          <w:shd w:val="clear" w:color="auto" w:fill="auto"/>
          <w:lang w:eastAsia="zh-CN"/>
        </w:rPr>
        <w:t>，佐证材料页数过多首页及骑缝盖章即可，</w:t>
      </w:r>
      <w:r>
        <w:rPr>
          <w:rFonts w:hint="eastAsia" w:ascii="仿宋_GB2312" w:hAnsi="仿宋_GB2312" w:eastAsia="仿宋_GB2312" w:cs="仿宋_GB2312"/>
          <w:color w:val="auto"/>
          <w:spacing w:val="3"/>
          <w:sz w:val="32"/>
          <w:szCs w:val="32"/>
          <w:shd w:val="clear" w:color="auto" w:fill="auto"/>
        </w:rPr>
        <w:t>转让形式取得的专利不可作为个人业绩；</w:t>
      </w:r>
    </w:p>
    <w:p w14:paraId="3BD92F39">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4</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论文</w:t>
      </w:r>
      <w:r>
        <w:rPr>
          <w:rFonts w:hint="eastAsia" w:ascii="仿宋_GB2312" w:hAnsi="仿宋_GB2312" w:eastAsia="仿宋_GB2312" w:cs="仿宋_GB2312"/>
          <w:color w:val="auto"/>
          <w:spacing w:val="3"/>
          <w:sz w:val="32"/>
          <w:szCs w:val="32"/>
          <w:shd w:val="clear" w:color="auto" w:fill="auto"/>
          <w:lang w:val="en-US" w:eastAsia="zh-CN"/>
        </w:rPr>
        <w:t>上传</w:t>
      </w:r>
      <w:r>
        <w:rPr>
          <w:rFonts w:hint="eastAsia" w:ascii="仿宋_GB2312" w:hAnsi="仿宋_GB2312" w:eastAsia="仿宋_GB2312" w:cs="仿宋_GB2312"/>
          <w:color w:val="auto"/>
          <w:spacing w:val="3"/>
          <w:sz w:val="32"/>
          <w:szCs w:val="32"/>
          <w:shd w:val="clear" w:color="auto" w:fill="auto"/>
        </w:rPr>
        <w:t>能体现刊号、出版日期的期刊封面、目录（包括出版信息）、论文正文等</w:t>
      </w:r>
      <w:r>
        <w:rPr>
          <w:rFonts w:hint="eastAsia" w:ascii="仿宋_GB2312" w:hAnsi="仿宋_GB2312" w:eastAsia="仿宋_GB2312" w:cs="仿宋_GB2312"/>
          <w:color w:val="auto"/>
          <w:spacing w:val="3"/>
          <w:sz w:val="32"/>
          <w:szCs w:val="32"/>
          <w:shd w:val="clear" w:color="auto" w:fill="auto"/>
          <w:lang w:val="en-US" w:eastAsia="zh-CN"/>
        </w:rPr>
        <w:t>原件扫描件</w:t>
      </w:r>
      <w:r>
        <w:rPr>
          <w:rFonts w:hint="eastAsia" w:ascii="仿宋_GB2312" w:hAnsi="仿宋_GB2312" w:eastAsia="仿宋_GB2312" w:cs="仿宋_GB2312"/>
          <w:color w:val="auto"/>
          <w:spacing w:val="3"/>
          <w:sz w:val="32"/>
          <w:szCs w:val="32"/>
          <w:shd w:val="clear" w:color="auto" w:fill="auto"/>
        </w:rPr>
        <w:t>，</w:t>
      </w:r>
      <w:r>
        <w:rPr>
          <w:rFonts w:hint="eastAsia" w:ascii="仿宋_GB2312" w:hAnsi="仿宋_GB2312" w:eastAsia="仿宋_GB2312" w:cs="仿宋_GB2312"/>
          <w:color w:val="auto"/>
          <w:spacing w:val="3"/>
          <w:sz w:val="32"/>
          <w:szCs w:val="32"/>
          <w:shd w:val="clear" w:color="auto" w:fill="auto"/>
          <w:lang w:val="en-US" w:eastAsia="zh-CN"/>
        </w:rPr>
        <w:t>还须提供国家新闻出版署网站期刊/期刊社查询检索结果（https://www.nppa.gov.cn/bsfw/cyjghcpcx/qkan/index.html）以及</w:t>
      </w:r>
      <w:r>
        <w:rPr>
          <w:rFonts w:hint="eastAsia" w:ascii="仿宋_GB2312" w:hAnsi="仿宋_GB2312" w:eastAsia="仿宋_GB2312" w:cs="仿宋_GB2312"/>
          <w:color w:val="auto"/>
          <w:spacing w:val="3"/>
          <w:sz w:val="32"/>
          <w:szCs w:val="32"/>
          <w:shd w:val="clear" w:color="auto" w:fill="auto"/>
        </w:rPr>
        <w:t>知网</w:t>
      </w:r>
      <w:r>
        <w:rPr>
          <w:rFonts w:hint="eastAsia" w:ascii="仿宋_GB2312" w:hAnsi="仿宋_GB2312" w:eastAsia="仿宋_GB2312" w:cs="仿宋_GB2312"/>
          <w:color w:val="auto"/>
          <w:spacing w:val="3"/>
          <w:sz w:val="32"/>
          <w:szCs w:val="32"/>
          <w:shd w:val="clear" w:color="auto" w:fill="auto"/>
          <w:lang w:eastAsia="zh-CN"/>
        </w:rPr>
        <w:t>（https://tra.oversea.cnki.net）</w:t>
      </w:r>
      <w:r>
        <w:rPr>
          <w:rFonts w:hint="eastAsia" w:ascii="仿宋_GB2312" w:hAnsi="仿宋_GB2312" w:eastAsia="仿宋_GB2312" w:cs="仿宋_GB2312"/>
          <w:color w:val="auto"/>
          <w:spacing w:val="3"/>
          <w:sz w:val="32"/>
          <w:szCs w:val="32"/>
          <w:shd w:val="clear" w:color="auto" w:fill="auto"/>
        </w:rPr>
        <w:t>、万方</w:t>
      </w:r>
      <w:r>
        <w:rPr>
          <w:rFonts w:hint="eastAsia" w:ascii="仿宋_GB2312" w:hAnsi="仿宋_GB2312" w:eastAsia="仿宋_GB2312" w:cs="仿宋_GB2312"/>
          <w:color w:val="auto"/>
          <w:spacing w:val="3"/>
          <w:sz w:val="32"/>
          <w:szCs w:val="32"/>
          <w:shd w:val="clear" w:color="auto" w:fill="auto"/>
          <w:lang w:eastAsia="zh-CN"/>
        </w:rPr>
        <w:t>（https://www.wanfangdata.com.cn）</w:t>
      </w:r>
      <w:r>
        <w:rPr>
          <w:rFonts w:hint="eastAsia" w:ascii="仿宋_GB2312" w:hAnsi="仿宋_GB2312" w:eastAsia="仿宋_GB2312" w:cs="仿宋_GB2312"/>
          <w:color w:val="auto"/>
          <w:spacing w:val="3"/>
          <w:sz w:val="32"/>
          <w:szCs w:val="32"/>
          <w:shd w:val="clear" w:color="auto" w:fill="auto"/>
        </w:rPr>
        <w:t>、维普网</w:t>
      </w:r>
      <w:r>
        <w:rPr>
          <w:rFonts w:hint="eastAsia" w:ascii="仿宋_GB2312" w:hAnsi="仿宋_GB2312" w:eastAsia="仿宋_GB2312" w:cs="仿宋_GB2312"/>
          <w:color w:val="auto"/>
          <w:spacing w:val="3"/>
          <w:sz w:val="32"/>
          <w:szCs w:val="32"/>
          <w:shd w:val="clear" w:color="auto" w:fill="auto"/>
          <w:lang w:eastAsia="zh-CN"/>
        </w:rPr>
        <w:t>（https://www.cqvip.com）首页</w:t>
      </w:r>
      <w:r>
        <w:rPr>
          <w:rFonts w:hint="eastAsia" w:ascii="仿宋_GB2312" w:hAnsi="仿宋_GB2312" w:eastAsia="仿宋_GB2312" w:cs="仿宋_GB2312"/>
          <w:color w:val="auto"/>
          <w:spacing w:val="3"/>
          <w:sz w:val="32"/>
          <w:szCs w:val="32"/>
          <w:shd w:val="clear" w:color="auto" w:fill="auto"/>
        </w:rPr>
        <w:t>检索截图（必传）</w:t>
      </w:r>
      <w:r>
        <w:rPr>
          <w:rFonts w:hint="eastAsia" w:ascii="仿宋_GB2312" w:hAnsi="仿宋_GB2312" w:eastAsia="仿宋_GB2312" w:cs="仿宋_GB2312"/>
          <w:color w:val="auto"/>
          <w:spacing w:val="3"/>
          <w:sz w:val="32"/>
          <w:szCs w:val="32"/>
          <w:shd w:val="clear" w:color="auto" w:fill="auto"/>
          <w:lang w:eastAsia="zh-CN"/>
        </w:rPr>
        <w:t>并填写验证网址</w:t>
      </w:r>
      <w:r>
        <w:rPr>
          <w:rFonts w:hint="eastAsia" w:ascii="仿宋_GB2312" w:hAnsi="仿宋_GB2312" w:eastAsia="仿宋_GB2312" w:cs="仿宋_GB2312"/>
          <w:color w:val="auto"/>
          <w:spacing w:val="3"/>
          <w:sz w:val="32"/>
          <w:szCs w:val="32"/>
          <w:shd w:val="clear" w:color="auto" w:fill="auto"/>
        </w:rPr>
        <w:t>，各类用稿证明等不可作为支撑材料；</w:t>
      </w:r>
    </w:p>
    <w:p w14:paraId="41331A95">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5</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著作需上传封面、扉页、作者（编委）信息、图书在版编目、目录、部分撰写内容正文等</w:t>
      </w:r>
      <w:r>
        <w:rPr>
          <w:rFonts w:hint="eastAsia" w:ascii="仿宋_GB2312" w:hAnsi="仿宋_GB2312" w:eastAsia="仿宋_GB2312" w:cs="仿宋_GB2312"/>
          <w:color w:val="auto"/>
          <w:spacing w:val="3"/>
          <w:sz w:val="32"/>
          <w:szCs w:val="32"/>
          <w:shd w:val="clear" w:color="auto" w:fill="auto"/>
          <w:lang w:eastAsia="zh-CN"/>
        </w:rPr>
        <w:t>，提供国家新闻出版署网站出版物信息查询检索页面（https://pdc.capub.cn）</w:t>
      </w:r>
      <w:r>
        <w:rPr>
          <w:rFonts w:hint="eastAsia" w:ascii="仿宋_GB2312" w:hAnsi="仿宋_GB2312" w:eastAsia="仿宋_GB2312" w:cs="仿宋_GB2312"/>
          <w:color w:val="auto"/>
          <w:spacing w:val="3"/>
          <w:sz w:val="32"/>
          <w:szCs w:val="32"/>
          <w:shd w:val="clear" w:color="auto" w:fill="auto"/>
        </w:rPr>
        <w:t>；</w:t>
      </w:r>
    </w:p>
    <w:p w14:paraId="3E219A8B">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6</w:t>
      </w:r>
      <w:r>
        <w:rPr>
          <w:rFonts w:hint="eastAsia" w:ascii="仿宋_GB2312" w:hAnsi="仿宋_GB2312" w:eastAsia="仿宋_GB2312" w:cs="仿宋_GB2312"/>
          <w:color w:val="auto"/>
          <w:spacing w:val="3"/>
          <w:sz w:val="32"/>
          <w:szCs w:val="32"/>
          <w:shd w:val="clear" w:color="auto" w:fill="auto"/>
          <w:lang w:eastAsia="zh-CN"/>
        </w:rPr>
        <w:t>）发表在国外刊物的论文，需上传论文的英文、中文翻译件、教育部科技查新工作站（例如山东大学图书馆）出具的检索证明原件扫描件，并由所在单位审核人签名并盖单位印章；</w:t>
      </w:r>
    </w:p>
    <w:p w14:paraId="024EA194">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6</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技术标准需上传封面、发布通知页、前言（含起草人员信息）、目次、部分编制内容等。</w:t>
      </w:r>
    </w:p>
    <w:p w14:paraId="68964256">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以上所有佐证材料须由所在单位审核人签名并盖单位印章。</w:t>
      </w:r>
    </w:p>
    <w:p w14:paraId="6551B13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lang w:eastAsia="zh-CN"/>
        </w:rPr>
      </w:pPr>
      <w:r>
        <w:rPr>
          <w:rFonts w:hint="eastAsia" w:ascii="黑体" w:hAnsi="黑体" w:eastAsia="黑体" w:cs="黑体"/>
          <w:color w:val="auto"/>
          <w:spacing w:val="7"/>
          <w:sz w:val="32"/>
          <w:szCs w:val="32"/>
          <w:shd w:val="clear" w:color="auto" w:fill="auto"/>
          <w:lang w:eastAsia="zh-CN"/>
        </w:rPr>
        <w:t>十、任现职以来主要专业技术工作成绩及表现</w:t>
      </w:r>
    </w:p>
    <w:p w14:paraId="3011365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default" w:ascii="黑体" w:hAnsi="黑体" w:eastAsia="黑体" w:cs="黑体"/>
          <w:color w:val="auto"/>
          <w:spacing w:val="7"/>
          <w:sz w:val="32"/>
          <w:szCs w:val="32"/>
          <w:shd w:val="clear" w:color="auto" w:fill="auto"/>
          <w:lang w:val="en-US" w:eastAsia="zh-CN"/>
        </w:rPr>
      </w:pPr>
      <w:r>
        <w:rPr>
          <w:rFonts w:hint="eastAsia" w:ascii="仿宋_GB2312" w:hAnsi="仿宋_GB2312" w:eastAsia="仿宋_GB2312" w:cs="仿宋_GB2312"/>
          <w:color w:val="auto"/>
          <w:spacing w:val="7"/>
          <w:sz w:val="32"/>
          <w:szCs w:val="32"/>
          <w:shd w:val="clear" w:color="auto" w:fill="auto"/>
          <w:lang w:val="en-US" w:eastAsia="zh-CN"/>
        </w:rPr>
        <w:t>1200字以内，实事求是、简明扼要、条理清楚地填写，取得的成绩明确，按照系统要求不得体现人员姓名。</w:t>
      </w:r>
    </w:p>
    <w:p w14:paraId="444737D0">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十</w:t>
      </w:r>
      <w:r>
        <w:rPr>
          <w:rFonts w:hint="eastAsia" w:ascii="黑体" w:hAnsi="黑体" w:eastAsia="黑体" w:cs="黑体"/>
          <w:color w:val="auto"/>
          <w:spacing w:val="7"/>
          <w:sz w:val="32"/>
          <w:szCs w:val="32"/>
          <w:shd w:val="clear" w:color="auto" w:fill="auto"/>
          <w:lang w:eastAsia="zh-CN"/>
        </w:rPr>
        <w:t>一、</w:t>
      </w:r>
      <w:r>
        <w:rPr>
          <w:rFonts w:hint="eastAsia" w:ascii="黑体" w:hAnsi="黑体" w:eastAsia="黑体" w:cs="黑体"/>
          <w:color w:val="auto"/>
          <w:spacing w:val="7"/>
          <w:sz w:val="32"/>
          <w:szCs w:val="32"/>
          <w:shd w:val="clear" w:color="auto" w:fill="auto"/>
        </w:rPr>
        <w:t>公开监督卡</w:t>
      </w:r>
      <w:bookmarkStart w:id="0" w:name="_GoBack"/>
      <w:bookmarkEnd w:id="0"/>
    </w:p>
    <w:p w14:paraId="6BC84478">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上传所在单位出具的“六公开”监督卡。</w:t>
      </w:r>
    </w:p>
    <w:p w14:paraId="3E6E1C4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lang w:val="en-US" w:eastAsia="zh-CN"/>
        </w:rPr>
        <w:t>十二、</w:t>
      </w:r>
      <w:r>
        <w:rPr>
          <w:rFonts w:hint="eastAsia" w:ascii="黑体" w:hAnsi="黑体" w:eastAsia="黑体" w:cs="黑体"/>
          <w:color w:val="auto"/>
          <w:spacing w:val="7"/>
          <w:sz w:val="32"/>
          <w:szCs w:val="32"/>
          <w:shd w:val="clear" w:color="auto" w:fill="auto"/>
        </w:rPr>
        <w:t>上传其他附件</w:t>
      </w:r>
    </w:p>
    <w:p w14:paraId="36C904BC">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right="0" w:rightChars="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rPr>
        <w:t>上传所在单位出具的</w:t>
      </w:r>
      <w:r>
        <w:rPr>
          <w:rFonts w:hint="eastAsia" w:ascii="仿宋_GB2312" w:hAnsi="仿宋_GB2312" w:eastAsia="仿宋_GB2312" w:cs="仿宋_GB2312"/>
          <w:color w:val="auto"/>
          <w:spacing w:val="3"/>
          <w:sz w:val="32"/>
          <w:szCs w:val="32"/>
          <w:shd w:val="clear" w:color="auto" w:fill="auto"/>
          <w:lang w:val="en-US" w:eastAsia="zh-CN"/>
        </w:rPr>
        <w:t>《事业单位推荐申报高中级职称评审情况统计表》《单位推荐委员会民主评议推荐情况登记表》《推荐申报职称公示情况报告表》等。该板块不接受任何代表性业绩成果，上传无效。</w:t>
      </w:r>
    </w:p>
    <w:p w14:paraId="4495C8C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材料填写完成后，按照申报通知规定的时间，点击“确认申报”，申报数据即提交给用人单位，及时联系用人单位进行数据审核并上报。申报数据成功提交后，评审结果公布前，申报人员要保持电话畅通，并不定期登录个人账号，查看申报材料的状态。</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xNzRkYmYxYjgzZWJlMjlmNzdjMjkwZjFiZjhiY2MifQ=="/>
  </w:docVars>
  <w:rsids>
    <w:rsidRoot w:val="00000000"/>
    <w:rsid w:val="029F4345"/>
    <w:rsid w:val="0513230D"/>
    <w:rsid w:val="0E734127"/>
    <w:rsid w:val="139B160D"/>
    <w:rsid w:val="197639DB"/>
    <w:rsid w:val="1B1D765E"/>
    <w:rsid w:val="1B8000A3"/>
    <w:rsid w:val="227A5C4D"/>
    <w:rsid w:val="32FE7EB6"/>
    <w:rsid w:val="343A19EC"/>
    <w:rsid w:val="35050260"/>
    <w:rsid w:val="3F536EFC"/>
    <w:rsid w:val="4D1C13EB"/>
    <w:rsid w:val="548968E9"/>
    <w:rsid w:val="54CA7908"/>
    <w:rsid w:val="587D093E"/>
    <w:rsid w:val="5F473629"/>
    <w:rsid w:val="5F9B498A"/>
    <w:rsid w:val="69190936"/>
    <w:rsid w:val="6D016617"/>
    <w:rsid w:val="6FEB09F5"/>
    <w:rsid w:val="72AD2758"/>
    <w:rsid w:val="74945558"/>
    <w:rsid w:val="7CE70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4819</Words>
  <Characters>5184</Characters>
  <Lines>0</Lines>
  <Paragraphs>0</Paragraphs>
  <TotalTime>105</TotalTime>
  <ScaleCrop>false</ScaleCrop>
  <LinksUpToDate>false</LinksUpToDate>
  <CharactersWithSpaces>5185</CharactersWithSpaces>
  <Application>WPS Office_12.1.0.22525_F1E327BC-269C-435d-A152-05C5408002CA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2023-09-27T02:33:00Z</dcterms:created>
  <dc:creator>lenovo</dc:creator>
  <cp:lastModifiedBy>Sensational</cp:lastModifiedBy>
  <dcterms:modified xsi:type="dcterms:W3CDTF">2025-09-08T08:18:45Z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ICV">
    <vt:lpwstr>BABFCC2B7BF94A368626E721E07DAFF9_12</vt:lpwstr>
  </property>
  <property fmtid="{D5CDD505-2E9C-101B-9397-08002B2CF9AE}" pid="4" name="KSOTemplateDocerSaveRecord">
    <vt:lpwstr>eyJoZGlkIjoiOWIzMjRhZWQ3MDRmZDA4M2JjZDdiMDVkN2Y0ZTAzZjIiLCJ1c2VySWQiOiIyMDQzNzk5NzcifQ==</vt:lpwstr>
  </property>
</Properties>
</file>