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distribute"/>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outlineLvl w:val="9"/>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关于做好市区新就业无房职工阶段性租赁</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outlineLvl w:val="9"/>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补贴发放工作的通知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（征求意见稿）</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仿宋_GB2312" w:hAnsi="仿宋" w:eastAsia="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根据《省政府关于印发落实“六稳”“六保”促进高质量发展政策清单（第一批）的通知》（鲁政发〔2020〕17号）和《省住房城乡建设厅 省财政厅 省人力资源社会保障厅关于加快做好对新就业无房职工发放住房租赁补贴工作的实施意见》（鲁建住字〔2021〕3号）精神，现就落实关于做好对新就业无房职工发放阶段性住房租赁补贴（以下简称阶段性租赁补贴）工作，通知如下。</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outlineLvl w:val="9"/>
        <w:rPr>
          <w:rFonts w:hint="eastAsia" w:ascii="黑体" w:hAnsi="黑体" w:eastAsia="黑体" w:cs="黑体"/>
          <w:color w:val="auto"/>
          <w:sz w:val="32"/>
          <w:szCs w:val="32"/>
          <w:lang w:eastAsia="zh-CN"/>
        </w:rPr>
      </w:pPr>
      <w:r>
        <w:rPr>
          <w:rFonts w:hint="eastAsia" w:ascii="黑体" w:hAnsi="黑体" w:eastAsia="黑体" w:cs="黑体"/>
          <w:color w:val="auto"/>
          <w:sz w:val="32"/>
          <w:szCs w:val="32"/>
          <w:lang w:val="en-US" w:eastAsia="zh-CN"/>
        </w:rPr>
        <w:t>一、保障</w:t>
      </w:r>
      <w:r>
        <w:rPr>
          <w:rFonts w:hint="eastAsia" w:ascii="黑体" w:hAnsi="黑体" w:eastAsia="黑体" w:cs="黑体"/>
          <w:color w:val="auto"/>
          <w:sz w:val="32"/>
          <w:szCs w:val="32"/>
          <w:lang w:eastAsia="zh-CN"/>
        </w:rPr>
        <w:t>资格</w:t>
      </w:r>
      <w:r>
        <w:rPr>
          <w:rFonts w:hint="eastAsia" w:ascii="黑体" w:hAnsi="黑体" w:eastAsia="黑体" w:cs="黑体"/>
          <w:color w:val="auto"/>
          <w:sz w:val="32"/>
          <w:szCs w:val="32"/>
        </w:rPr>
        <w:t>条件</w:t>
      </w:r>
      <w:r>
        <w:rPr>
          <w:rFonts w:hint="eastAsia" w:ascii="黑体" w:hAnsi="黑体" w:eastAsia="黑体" w:cs="黑体"/>
          <w:color w:val="auto"/>
          <w:sz w:val="32"/>
          <w:szCs w:val="32"/>
          <w:lang w:eastAsia="zh-CN"/>
        </w:rPr>
        <w:t>及范围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1.2021年1月1日以后，在威海市区范围内首次就业并办理就业登记，正常缴纳社会保险的新就业职工</w:t>
      </w:r>
      <w:r>
        <w:rPr>
          <w:rFonts w:hint="eastAsia" w:ascii="仿宋_GB2312" w:hAnsi="仿宋" w:eastAsia="仿宋_GB2312"/>
          <w:color w:val="auto"/>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2.在威海市区范围内以家庭为单位无自有住房，申请之日前3年内申请人及家庭成员名下无房屋所有权转移登记，通过租赁解决住房困难；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highlight w:val="red"/>
          <w:u w:val="single"/>
          <w:lang w:val="en-US" w:eastAsia="zh-CN"/>
        </w:rPr>
      </w:pPr>
      <w:r>
        <w:rPr>
          <w:rFonts w:hint="eastAsia" w:ascii="仿宋_GB2312" w:hAnsi="仿宋" w:eastAsia="仿宋_GB2312"/>
          <w:color w:val="auto"/>
          <w:sz w:val="32"/>
          <w:szCs w:val="32"/>
          <w:lang w:val="en-US" w:eastAsia="zh-CN"/>
        </w:rPr>
        <w:t>3.具有国家承认的大专及以上学历，自毕业起不满5年。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000000"/>
          <w:sz w:val="32"/>
          <w:szCs w:val="32"/>
          <w:lang w:val="en-US" w:eastAsia="zh-CN"/>
        </w:rPr>
      </w:pPr>
      <w:r>
        <w:rPr>
          <w:rFonts w:hint="eastAsia" w:ascii="仿宋_GB2312" w:hAnsi="仿宋" w:eastAsia="仿宋_GB2312"/>
          <w:color w:val="000000"/>
          <w:sz w:val="32"/>
          <w:szCs w:val="32"/>
          <w:lang w:val="en-US" w:eastAsia="zh-CN"/>
        </w:rPr>
        <w:t>已享受本市人才购房补贴、人才租房补贴、安家补贴等财政列支的其他住房补贴政策以及住房保障政策的人员不列入阶段性租赁补贴范围。</w:t>
      </w: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outlineLvl w:val="9"/>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lang w:eastAsia="zh-CN"/>
        </w:rPr>
        <w:t>补贴</w:t>
      </w:r>
      <w:r>
        <w:rPr>
          <w:rFonts w:hint="eastAsia" w:ascii="黑体" w:hAnsi="黑体" w:eastAsia="黑体" w:cs="黑体"/>
          <w:color w:val="auto"/>
          <w:sz w:val="32"/>
          <w:szCs w:val="32"/>
        </w:rPr>
        <w:t>标准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新就业无房职工阶段性租赁补贴标准为：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1.阶段性租赁补贴每月每平方米补助10元。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2.阶段性租赁补贴按学历层级区分</w:t>
      </w:r>
      <w:r>
        <w:rPr>
          <w:rFonts w:hint="eastAsia" w:ascii="仿宋_GB2312" w:hAnsi="仿宋" w:eastAsia="仿宋_GB2312"/>
          <w:color w:val="auto"/>
          <w:sz w:val="32"/>
          <w:szCs w:val="32"/>
          <w:highlight w:val="none"/>
          <w:lang w:val="en-US" w:eastAsia="zh-CN"/>
        </w:rPr>
        <w:t>上调</w:t>
      </w:r>
      <w:r>
        <w:rPr>
          <w:rFonts w:hint="eastAsia" w:ascii="仿宋_GB2312" w:hAnsi="仿宋" w:eastAsia="仿宋_GB2312"/>
          <w:color w:val="auto"/>
          <w:sz w:val="32"/>
          <w:szCs w:val="32"/>
          <w:lang w:val="en-US" w:eastAsia="zh-CN"/>
        </w:rPr>
        <w:t>发放：本科每月50元、硕士研究生每月100元、博士每月150元。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3.补贴面积。1人的保障家庭按30平方米、2人的保障家庭按45平方米、3人及以上的保障家庭按60平方米发放。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4.阶段性租赁补贴家庭月补贴金额=租赁住房补贴发放标准×申请家庭应保障面积+申请家庭学历层级补贴。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5.新就业无房职工实际承担的住房租赁费用低于补贴标准的，按照实际承担的费用发放阶段性租赁补贴。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黑体" w:hAnsi="黑体" w:eastAsia="黑体" w:cs="黑体"/>
          <w:color w:val="auto"/>
          <w:sz w:val="32"/>
          <w:szCs w:val="32"/>
          <w:lang w:val="en-US" w:eastAsia="zh-CN"/>
        </w:rPr>
      </w:pPr>
      <w:r>
        <w:rPr>
          <w:rFonts w:hint="eastAsia" w:ascii="仿宋_GB2312" w:hAnsi="仿宋" w:eastAsia="仿宋_GB2312"/>
          <w:color w:val="auto"/>
          <w:sz w:val="32"/>
          <w:szCs w:val="32"/>
          <w:lang w:val="en-US" w:eastAsia="zh-CN"/>
        </w:rPr>
        <w:t>6.同一家庭有多个新就业无房职工的，不重复享受补贴，学历层级补贴标准按家庭成员最高学历计算。</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32"/>
        </w:rPr>
        <w:t>申请与审核</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（一）申请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1.申报程序。新就业无房职工申请住房租赁补贴时，由申请人用人单位统一组织办理申请手续，向注册地所在街道办事处（镇政府）进行申报。用人单位不具备申报条件的允许个人单独申报。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2.应提交材料：</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（1）威海市区住房租赁补贴申请审核表；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shd w:val="clear" w:color="auto" w:fill="auto"/>
          <w:lang w:val="en-US" w:eastAsia="zh-CN"/>
        </w:rPr>
      </w:pPr>
      <w:r>
        <w:rPr>
          <w:rFonts w:hint="eastAsia" w:ascii="仿宋_GB2312" w:hAnsi="仿宋" w:eastAsia="仿宋_GB2312"/>
          <w:color w:val="auto"/>
          <w:sz w:val="32"/>
          <w:szCs w:val="32"/>
          <w:shd w:val="clear" w:color="auto" w:fill="auto"/>
          <w:lang w:val="en-US" w:eastAsia="zh-CN"/>
        </w:rPr>
        <w:t>（2）申请人身份证、毕业证书原件及复印件和学信网《教育部学历证书电子注册备案表》、劳动合同或者聘用合同、社会保险缴纳证明原件及复印件；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（3）申请人及其家庭成员户口簿、婚姻状况材料及复印件；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（4）房屋租赁备案证；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（5）用人单位需提供威海市区住房租赁补贴单位申报表和包含社会统一信用代码证照的原件及复印件（营业执照）。</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条件具备后，应通过公租房信息管理系统和大数据平台实现联审联查。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（二）审核</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街道办事处（镇政府）对首次就业登记、社会保险、劳动合同、学历、</w:t>
      </w:r>
      <w:r>
        <w:rPr>
          <w:rFonts w:hint="eastAsia" w:ascii="仿宋_GB2312" w:hAnsi="仿宋" w:eastAsia="仿宋_GB2312"/>
          <w:color w:val="auto"/>
          <w:sz w:val="32"/>
          <w:szCs w:val="32"/>
          <w:highlight w:val="none"/>
          <w:lang w:val="en-US" w:eastAsia="zh-CN"/>
        </w:rPr>
        <w:t>是否享受人才保障相关政策等内容</w:t>
      </w:r>
      <w:r>
        <w:rPr>
          <w:rFonts w:hint="eastAsia" w:ascii="仿宋_GB2312" w:hAnsi="仿宋" w:eastAsia="仿宋_GB2312"/>
          <w:color w:val="auto"/>
          <w:sz w:val="32"/>
          <w:szCs w:val="32"/>
          <w:lang w:val="en-US" w:eastAsia="zh-CN"/>
        </w:rPr>
        <w:t>进行初审，5个工作日内完成并提交所属区住房城乡建设部门。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区住房城乡建设部门在10个工作日内会同区人力资源社会保障部门、市住房保障公共服务中心、市不动产登记中心完成审核，并将符合条件的申请人向社会公示，公示期为3天，经公示无异议的列为新就业无房职工保障对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四、补贴发放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1.区住房城乡建设部门应按月或按季发放住房租赁补贴。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2.新就业无房职工累计保障期限不超过36个月，对超过保障期限仍符合其他保障对象条件的，可按规定变更保障类别，继续申请保障。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3.阶段性住房租赁补贴所需资金由各区市财政部门统筹各级财政相关资金予以保障。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黑体" w:hAnsi="黑体" w:eastAsia="黑体" w:cs="黑体"/>
          <w:color w:val="auto"/>
          <w:sz w:val="32"/>
          <w:szCs w:val="32"/>
          <w:lang w:val="en-US" w:eastAsia="zh-CN"/>
        </w:rPr>
        <w:t>五、复核与退出</w:t>
      </w:r>
      <w:r>
        <w:rPr>
          <w:rFonts w:hint="eastAsia" w:ascii="仿宋_GB2312" w:hAnsi="仿宋" w:eastAsia="仿宋_GB2312"/>
          <w:color w:val="auto"/>
          <w:sz w:val="32"/>
          <w:szCs w:val="32"/>
          <w:lang w:val="en-US" w:eastAsia="zh-CN"/>
        </w:rPr>
        <w:br w:type="textWrapping"/>
      </w:r>
      <w:r>
        <w:rPr>
          <w:rFonts w:hint="eastAsia" w:ascii="仿宋_GB2312" w:hAnsi="仿宋" w:eastAsia="仿宋_GB2312"/>
          <w:color w:val="auto"/>
          <w:sz w:val="32"/>
          <w:szCs w:val="32"/>
          <w:lang w:val="en-US" w:eastAsia="zh-CN"/>
        </w:rPr>
        <w:t>　　1.动态复核。区住房城乡建设部门应会同有关部门依法对领取阶段性住房租赁补贴的新就业无房职工家庭人口、婚姻、住房、学历等情况进行定期和动态复核，每年至少一次，对不再符合保障条件的，停止发放租赁补贴。用人单位对因工作变动等其他原因而不再符合保障条件的人员，主动报送区住房城乡建设部门，及时办理退出保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 xml:space="preserve">   2.失信惩戒。申请人以虚假信息和材料骗领补贴的，区住房城乡建设部门取消其登记资格、停发并追回已领取的补贴。对拒不退还的，可依法向人民法院提起诉讼，并依法依规实施失信惩戒，5年内不受理其住房保障申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本通知自印发之日起施行；文登区、荣成市、乳山市、南海新区可参照执行。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9"/>
        <w:rPr>
          <w:rFonts w:hint="eastAsia" w:ascii="仿宋_GB2312" w:hAnsi="仿宋" w:eastAsia="仿宋_GB2312"/>
          <w:color w:val="auto"/>
          <w:sz w:val="32"/>
          <w:szCs w:val="32"/>
          <w:lang w:val="en-US" w:eastAsia="zh-CN"/>
        </w:rPr>
      </w:pPr>
    </w:p>
    <w:p>
      <w:pPr>
        <w:pStyle w:val="2"/>
        <w:rPr>
          <w:rFonts w:hint="eastAsia"/>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outlineLvl w:val="9"/>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 xml:space="preserve">威海市住房和城乡建设局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sz w:val="32"/>
          <w:szCs w:val="32"/>
          <w:lang w:val="en-US" w:eastAsia="zh-CN"/>
        </w:rPr>
      </w:pPr>
      <w:r>
        <w:rPr>
          <w:rFonts w:hint="eastAsia" w:ascii="仿宋_GB2312" w:hAnsi="仿宋" w:eastAsia="仿宋_GB2312"/>
          <w:color w:val="auto"/>
          <w:sz w:val="32"/>
          <w:szCs w:val="32"/>
          <w:lang w:val="en-US" w:eastAsia="zh-CN"/>
        </w:rPr>
        <w:t xml:space="preserve">                      2021年4月12日</w:t>
      </w:r>
      <w:r>
        <w:rPr>
          <w:rFonts w:hint="eastAsia" w:ascii="仿宋_GB2312"/>
          <w:sz w:val="32"/>
          <w:szCs w:val="32"/>
        </w:rPr>
        <w:t xml:space="preserve">  </w:t>
      </w:r>
      <w:r>
        <w:rPr>
          <w:rFonts w:hint="eastAsia" w:ascii="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sz w:val="32"/>
          <w:szCs w:val="32"/>
          <w:lang w:val="en-US" w:eastAsia="zh-CN"/>
        </w:rPr>
      </w:pPr>
      <w:r>
        <w:rPr>
          <w:rFonts w:hint="eastAsia" w:ascii="仿宋_GB2312"/>
          <w:sz w:val="32"/>
          <w:szCs w:val="32"/>
          <w:lang w:val="en-US" w:eastAsia="zh-CN"/>
        </w:rPr>
        <w:t xml:space="preserve">  </w:t>
      </w:r>
      <w:bookmarkStart w:id="0" w:name="_GoBack"/>
      <w:bookmarkEnd w:id="0"/>
    </w:p>
    <w:p>
      <w:pPr>
        <w:widowControl/>
        <w:tabs>
          <w:tab w:val="left" w:pos="3544"/>
        </w:tabs>
        <w:ind w:firstLine="210" w:firstLineChars="100"/>
        <w:jc w:val="left"/>
      </w:pPr>
    </w:p>
    <w:sectPr>
      <w:footerReference r:id="rId3" w:type="default"/>
      <w:footerReference r:id="rId4" w:type="even"/>
      <w:pgSz w:w="11906" w:h="16838"/>
      <w:pgMar w:top="1928"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FZXBSJW--GB1-0">
    <w:altName w:val="URW Bookman"/>
    <w:panose1 w:val="00000000000000000000"/>
    <w:charset w:val="00"/>
    <w:family w:val="roman"/>
    <w:pitch w:val="default"/>
    <w:sig w:usb0="00000000" w:usb1="00000000" w:usb2="00000000" w:usb3="00000000" w:csb0="00000000" w:csb1="00000000"/>
  </w:font>
  <w:font w:name="Arial Unicode MS">
    <w:altName w:val="Nimbus Roman No9 L"/>
    <w:panose1 w:val="020B0604020202020204"/>
    <w:charset w:val="86"/>
    <w:family w:val="swiss"/>
    <w:pitch w:val="default"/>
    <w:sig w:usb0="00000000" w:usb1="00000000" w:usb2="0000003F" w:usb3="00000000" w:csb0="603F01FF" w:csb1="FFFF0000"/>
  </w:font>
  <w:font w:name="创艺简标宋">
    <w:panose1 w:val="00000000000000000000"/>
    <w:charset w:val="86"/>
    <w:family w:val="auto"/>
    <w:pitch w:val="default"/>
    <w:sig w:usb0="00000000" w:usb1="00000000" w:usb2="00000000" w:usb3="00000000" w:csb0="00000000" w:csb1="00000000"/>
  </w:font>
  <w:font w:name="文星简小标宋">
    <w:altName w:val="方正小标宋_GBK"/>
    <w:panose1 w:val="02010609000101010101"/>
    <w:charset w:val="86"/>
    <w:family w:val="modern"/>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Nimbus Roman No9 L">
    <w:panose1 w:val="00000000000000000000"/>
    <w:charset w:val="00"/>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URW Bookman">
    <w:panose1 w:val="00000400000000000000"/>
    <w:charset w:val="00"/>
    <w:family w:val="auto"/>
    <w:pitch w:val="default"/>
    <w:sig w:usb0="00000287" w:usb1="00000800" w:usb2="00000000" w:usb3="00000000" w:csb0="6000009F" w:csb1="00000000"/>
  </w:font>
  <w:font w:name="Standard Symbols PS">
    <w:panose1 w:val="05050102010706020507"/>
    <w:charset w:val="00"/>
    <w:family w:val="auto"/>
    <w:pitch w:val="default"/>
    <w:sig w:usb0="00000003"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hint="eastAsia" w:ascii="仿宋_GB2312" w:eastAsia="仿宋_GB2312"/>
        <w:sz w:val="28"/>
        <w:szCs w:val="28"/>
      </w:rPr>
    </w:pPr>
    <w:r>
      <w:rPr>
        <w:rFonts w:hint="eastAsia" w:ascii="仿宋_GB2312" w:eastAsia="仿宋_GB2312"/>
        <w:sz w:val="28"/>
        <w:szCs w:val="28"/>
      </w:rPr>
      <w:t xml:space="preserve">— </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1</w:t>
    </w:r>
    <w:r>
      <w:rPr>
        <w:rFonts w:hint="eastAsia" w:ascii="仿宋_GB2312" w:eastAsia="仿宋_GB2312"/>
        <w:sz w:val="28"/>
        <w:szCs w:val="28"/>
      </w:rPr>
      <w:fldChar w:fldCharType="end"/>
    </w:r>
    <w:r>
      <w:rPr>
        <w:rFonts w:hint="eastAsia" w:ascii="仿宋_GB2312" w:eastAsia="仿宋_GB2312"/>
        <w:sz w:val="28"/>
        <w:szCs w:val="28"/>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280" w:firstLineChars="100"/>
      <w:rPr>
        <w:rFonts w:hint="eastAsia" w:ascii="仿宋_GB2312" w:eastAsia="仿宋_GB2312"/>
        <w:sz w:val="28"/>
        <w:szCs w:val="28"/>
      </w:rPr>
    </w:pPr>
    <w:r>
      <w:rPr>
        <w:rFonts w:hint="eastAsia" w:ascii="仿宋_GB2312" w:eastAsia="仿宋_GB2312"/>
        <w:sz w:val="28"/>
        <w:szCs w:val="28"/>
      </w:rPr>
      <w:t xml:space="preserve">— </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2</w:t>
    </w:r>
    <w:r>
      <w:rPr>
        <w:rFonts w:hint="eastAsia" w:ascii="仿宋_GB2312" w:eastAsia="仿宋_GB2312"/>
        <w:sz w:val="28"/>
        <w:szCs w:val="28"/>
      </w:rPr>
      <w:fldChar w:fldCharType="end"/>
    </w:r>
    <w:r>
      <w:rPr>
        <w:rFonts w:hint="eastAsia" w:ascii="仿宋_GB2312" w:eastAsia="仿宋_GB2312"/>
        <w:sz w:val="28"/>
        <w:szCs w:val="28"/>
      </w:rPr>
      <w:t xml:space="preserve"> —</w:t>
    </w: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BD3230"/>
    <w:multiLevelType w:val="multilevel"/>
    <w:tmpl w:val="23BD3230"/>
    <w:lvl w:ilvl="0" w:tentative="0">
      <w:start w:val="1"/>
      <w:numFmt w:val="decimal"/>
      <w:lvlText w:val="%1"/>
      <w:lvlJc w:val="left"/>
      <w:pPr>
        <w:ind w:left="425" w:hanging="425"/>
      </w:pPr>
      <w:rPr>
        <w:rFonts w:hint="eastAsia" w:cs="Times New Roman"/>
      </w:rPr>
    </w:lvl>
    <w:lvl w:ilvl="1" w:tentative="0">
      <w:start w:val="1"/>
      <w:numFmt w:val="decimal"/>
      <w:lvlText w:val="%1.%2"/>
      <w:lvlJc w:val="left"/>
      <w:pPr>
        <w:ind w:left="992" w:hanging="567"/>
      </w:pPr>
      <w:rPr>
        <w:rFonts w:hint="eastAsia" w:cs="Times New Roman"/>
      </w:rPr>
    </w:lvl>
    <w:lvl w:ilvl="2" w:tentative="0">
      <w:start w:val="1"/>
      <w:numFmt w:val="decimal"/>
      <w:lvlText w:val="%1.%2.%3"/>
      <w:lvlJc w:val="left"/>
      <w:pPr>
        <w:ind w:left="1418" w:hanging="567"/>
      </w:pPr>
      <w:rPr>
        <w:rFonts w:hint="eastAsia" w:cs="Times New Roman"/>
      </w:rPr>
    </w:lvl>
    <w:lvl w:ilvl="3" w:tentative="0">
      <w:start w:val="1"/>
      <w:numFmt w:val="decimal"/>
      <w:lvlText w:val="%1.%2.%3.%4"/>
      <w:lvlJc w:val="left"/>
      <w:pPr>
        <w:ind w:left="850" w:hanging="708"/>
      </w:pPr>
      <w:rPr>
        <w:rFonts w:hint="eastAsia" w:cs="Times New Roman"/>
      </w:rPr>
    </w:lvl>
    <w:lvl w:ilvl="4" w:tentative="0">
      <w:start w:val="1"/>
      <w:numFmt w:val="decimal"/>
      <w:pStyle w:val="3"/>
      <w:lvlText w:val="%1.%2.%3.%4.%5"/>
      <w:lvlJc w:val="left"/>
      <w:pPr>
        <w:ind w:left="2551" w:hanging="850"/>
      </w:pPr>
      <w:rPr>
        <w:rFonts w:hint="eastAsia" w:cs="Times New Roman"/>
      </w:rPr>
    </w:lvl>
    <w:lvl w:ilvl="5" w:tentative="0">
      <w:start w:val="1"/>
      <w:numFmt w:val="decimal"/>
      <w:lvlText w:val="%1.%2.%3.%4.%5.%6"/>
      <w:lvlJc w:val="left"/>
      <w:pPr>
        <w:ind w:left="1134" w:hanging="1134"/>
      </w:pPr>
      <w:rPr>
        <w:rFonts w:hint="eastAsia" w:cs="Times New Roman"/>
      </w:rPr>
    </w:lvl>
    <w:lvl w:ilvl="6" w:tentative="0">
      <w:start w:val="1"/>
      <w:numFmt w:val="decimal"/>
      <w:lvlText w:val="%1.%2.%3.%4.%5.%6.%7"/>
      <w:lvlJc w:val="left"/>
      <w:pPr>
        <w:ind w:left="3827" w:hanging="1276"/>
      </w:pPr>
      <w:rPr>
        <w:rFonts w:hint="eastAsia" w:cs="Times New Roman"/>
      </w:rPr>
    </w:lvl>
    <w:lvl w:ilvl="7" w:tentative="0">
      <w:start w:val="1"/>
      <w:numFmt w:val="decimal"/>
      <w:lvlText w:val="%1.%2.%3.%4.%5.%6.%7.%8"/>
      <w:lvlJc w:val="left"/>
      <w:pPr>
        <w:ind w:left="4394" w:hanging="1418"/>
      </w:pPr>
      <w:rPr>
        <w:rFonts w:hint="eastAsia" w:cs="Times New Roman"/>
      </w:rPr>
    </w:lvl>
    <w:lvl w:ilvl="8" w:tentative="0">
      <w:start w:val="1"/>
      <w:numFmt w:val="decimal"/>
      <w:lvlText w:val="%1.%2.%3.%4.%5.%6.%7.%8.%9"/>
      <w:lvlJc w:val="left"/>
      <w:pPr>
        <w:ind w:left="5102" w:hanging="1700"/>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2770E0"/>
    <w:rsid w:val="03256C23"/>
    <w:rsid w:val="03BC1546"/>
    <w:rsid w:val="069A0D46"/>
    <w:rsid w:val="07DC6132"/>
    <w:rsid w:val="08517894"/>
    <w:rsid w:val="0ADE2985"/>
    <w:rsid w:val="0CE239FE"/>
    <w:rsid w:val="0DDF4C48"/>
    <w:rsid w:val="0EBD5F57"/>
    <w:rsid w:val="10401D29"/>
    <w:rsid w:val="11AA06D2"/>
    <w:rsid w:val="180D0DB9"/>
    <w:rsid w:val="18346DFB"/>
    <w:rsid w:val="196B1EE4"/>
    <w:rsid w:val="1B8867DC"/>
    <w:rsid w:val="1C26373D"/>
    <w:rsid w:val="1C2F375A"/>
    <w:rsid w:val="1FD05223"/>
    <w:rsid w:val="206D59F8"/>
    <w:rsid w:val="22B55E33"/>
    <w:rsid w:val="252770E0"/>
    <w:rsid w:val="2730026D"/>
    <w:rsid w:val="289F3932"/>
    <w:rsid w:val="30616DBB"/>
    <w:rsid w:val="307E2DAE"/>
    <w:rsid w:val="3358251B"/>
    <w:rsid w:val="33711CB2"/>
    <w:rsid w:val="348B0CD5"/>
    <w:rsid w:val="36B05117"/>
    <w:rsid w:val="3AC76B1C"/>
    <w:rsid w:val="3B510582"/>
    <w:rsid w:val="3E3F7673"/>
    <w:rsid w:val="3F9F3147"/>
    <w:rsid w:val="400600CE"/>
    <w:rsid w:val="40236474"/>
    <w:rsid w:val="417537CB"/>
    <w:rsid w:val="417D0053"/>
    <w:rsid w:val="44E2008A"/>
    <w:rsid w:val="48252883"/>
    <w:rsid w:val="48AA6A99"/>
    <w:rsid w:val="49F07E42"/>
    <w:rsid w:val="4A3C48C5"/>
    <w:rsid w:val="4F011A94"/>
    <w:rsid w:val="544E062A"/>
    <w:rsid w:val="58A0410E"/>
    <w:rsid w:val="5C720336"/>
    <w:rsid w:val="5CAF09DD"/>
    <w:rsid w:val="5E64626F"/>
    <w:rsid w:val="64B1273E"/>
    <w:rsid w:val="68AD6C67"/>
    <w:rsid w:val="69903783"/>
    <w:rsid w:val="6EC07B3C"/>
    <w:rsid w:val="6ED15A0D"/>
    <w:rsid w:val="6F1704DF"/>
    <w:rsid w:val="6FEFED43"/>
    <w:rsid w:val="720C4E2A"/>
    <w:rsid w:val="7237720D"/>
    <w:rsid w:val="7624685A"/>
    <w:rsid w:val="77093C08"/>
    <w:rsid w:val="7B7D2FF4"/>
    <w:rsid w:val="7F8903C5"/>
    <w:rsid w:val="EFFFF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仿宋_GB2312" w:hAnsi="微软雅黑" w:eastAsia="仿宋_GB2312"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5"/>
    <w:basedOn w:val="1"/>
    <w:next w:val="1"/>
    <w:qFormat/>
    <w:uiPriority w:val="0"/>
    <w:pPr>
      <w:keepNext/>
      <w:keepLines/>
      <w:numPr>
        <w:ilvl w:val="4"/>
        <w:numId w:val="1"/>
      </w:numPr>
      <w:ind w:left="851" w:hanging="851"/>
      <w:outlineLvl w:val="4"/>
    </w:pPr>
    <w:rPr>
      <w:b/>
      <w:bCs/>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style>
  <w:style w:type="paragraph" w:styleId="4">
    <w:name w:val="Normal Indent"/>
    <w:basedOn w:val="1"/>
    <w:qFormat/>
    <w:uiPriority w:val="0"/>
    <w:pPr>
      <w:ind w:firstLine="420" w:firstLineChars="200"/>
    </w:pPr>
    <w:rPr>
      <w:rFonts w:eastAsia="仿宋"/>
    </w:rPr>
  </w:style>
  <w:style w:type="paragraph" w:styleId="5">
    <w:name w:val="Body Text Indent"/>
    <w:basedOn w:val="1"/>
    <w:next w:val="4"/>
    <w:unhideWhenUsed/>
    <w:qFormat/>
    <w:uiPriority w:val="99"/>
    <w:pPr>
      <w:spacing w:after="120"/>
      <w:ind w:left="420" w:leftChars="200"/>
    </w:p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toc 1"/>
    <w:basedOn w:val="1"/>
    <w:next w:val="1"/>
    <w:qFormat/>
    <w:uiPriority w:val="0"/>
  </w:style>
  <w:style w:type="paragraph" w:styleId="8">
    <w:name w:val="Normal (Web)"/>
    <w:basedOn w:val="1"/>
    <w:unhideWhenUsed/>
    <w:qFormat/>
    <w:uiPriority w:val="99"/>
    <w:pPr>
      <w:widowControl/>
      <w:spacing w:before="100" w:beforeAutospacing="1" w:after="100" w:afterAutospacing="1" w:line="240" w:lineRule="auto"/>
      <w:jc w:val="left"/>
    </w:pPr>
    <w:rPr>
      <w:rFonts w:ascii="宋体" w:hAnsi="宋体" w:eastAsia="宋体"/>
      <w:sz w:val="24"/>
      <w:szCs w:val="24"/>
    </w:rPr>
  </w:style>
  <w:style w:type="paragraph" w:styleId="9">
    <w:name w:val="Body Text First Indent 2"/>
    <w:basedOn w:val="5"/>
    <w:qFormat/>
    <w:uiPriority w:val="0"/>
    <w:pPr>
      <w:spacing w:after="0"/>
      <w:ind w:firstLine="420" w:firstLineChars="200"/>
    </w:pPr>
  </w:style>
  <w:style w:type="paragraph" w:customStyle="1" w:styleId="12">
    <w:name w:val="Default"/>
    <w:unhideWhenUsed/>
    <w:qFormat/>
    <w:uiPriority w:val="99"/>
    <w:pPr>
      <w:widowControl w:val="0"/>
      <w:autoSpaceDE w:val="0"/>
      <w:autoSpaceDN w:val="0"/>
      <w:adjustRightInd w:val="0"/>
    </w:pPr>
    <w:rPr>
      <w:rFonts w:hint="eastAsia" w:ascii="方正小标宋简体" w:hAnsi="方正小标宋简体" w:eastAsia="方正小标宋简体" w:cs="Times New Roman"/>
      <w:color w:val="000000"/>
      <w:sz w:val="24"/>
      <w:szCs w:val="22"/>
      <w:lang w:val="en-US" w:eastAsia="zh-CN" w:bidi="ar-SA"/>
    </w:rPr>
  </w:style>
  <w:style w:type="character" w:customStyle="1" w:styleId="13">
    <w:name w:val="fontstyle01"/>
    <w:basedOn w:val="11"/>
    <w:qFormat/>
    <w:uiPriority w:val="0"/>
    <w:rPr>
      <w:rFonts w:hint="default" w:ascii="FZXBSJW--GB1-0" w:hAnsi="FZXBSJW--GB1-0"/>
      <w:color w:val="000000"/>
      <w:sz w:val="44"/>
      <w:szCs w:val="44"/>
    </w:rPr>
  </w:style>
  <w:style w:type="paragraph" w:customStyle="1" w:styleId="14">
    <w:name w:val="正文 A"/>
    <w:next w:val="7"/>
    <w:qFormat/>
    <w:uiPriority w:val="0"/>
    <w:pPr>
      <w:widowControl w:val="0"/>
      <w:spacing w:line="570" w:lineRule="exact"/>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15">
    <w:name w:val="fontstyle21"/>
    <w:basedOn w:val="11"/>
    <w:qFormat/>
    <w:uiPriority w:val="0"/>
    <w:rPr>
      <w:rFonts w:hint="eastAsia" w:ascii="宋体" w:hAnsi="宋体" w:eastAsia="宋体"/>
      <w:color w:val="00000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2020-07-28T14:22:00Z</dcterms:created>
  <dc:creator>陈思羽</dc:creator>
  <cp:lastModifiedBy>user</cp:lastModifiedBy>
  <cp:lastPrinted>2021-06-04T10:21:00Z</cp:lastPrinted>
  <dcterms:modified xsi:type="dcterms:W3CDTF">2021-11-22T10:44:07Z</dcterms:modified>
  <dc:title>威海市住房和城乡建设局威建通字〔2020〕 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