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widowControl/>
        <w:spacing w:line="640" w:lineRule="exact"/>
        <w:ind w:firstLine="0" w:firstLineChars="0"/>
        <w:jc w:val="both"/>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lang w:val="en-US" w:eastAsia="zh-CN"/>
        </w:rPr>
        <w:t>附件</w:t>
      </w:r>
    </w:p>
    <w:p>
      <w:pPr>
        <w:pStyle w:val="10"/>
        <w:widowControl/>
        <w:spacing w:line="640" w:lineRule="exact"/>
        <w:ind w:firstLine="0" w:firstLineChars="0"/>
        <w:jc w:val="center"/>
        <w:rPr>
          <w:rFonts w:hint="eastAsia" w:ascii="宋体" w:hAnsi="宋体" w:eastAsia="方正小标宋简体"/>
          <w:b w:val="0"/>
          <w:bCs w:val="0"/>
          <w:sz w:val="44"/>
          <w:szCs w:val="44"/>
          <w:lang w:eastAsia="zh-CN"/>
        </w:rPr>
      </w:pPr>
      <w:r>
        <w:rPr>
          <w:rFonts w:hint="eastAsia" w:ascii="宋体" w:hAnsi="宋体" w:eastAsia="方正小标宋简体"/>
          <w:b w:val="0"/>
          <w:bCs w:val="0"/>
          <w:sz w:val="44"/>
          <w:szCs w:val="44"/>
          <w:lang w:eastAsia="zh-CN"/>
        </w:rPr>
        <w:t>威海市住房和城乡建设局</w:t>
      </w:r>
    </w:p>
    <w:p>
      <w:pPr>
        <w:pStyle w:val="10"/>
        <w:widowControl/>
        <w:spacing w:line="640" w:lineRule="exact"/>
        <w:ind w:firstLine="0" w:firstLineChars="0"/>
        <w:jc w:val="center"/>
        <w:rPr>
          <w:rFonts w:hint="eastAsia" w:ascii="宋体" w:hAnsi="宋体" w:eastAsia="方正小标宋简体"/>
          <w:b w:val="0"/>
          <w:bCs w:val="0"/>
          <w:sz w:val="44"/>
          <w:szCs w:val="44"/>
        </w:rPr>
      </w:pPr>
      <w:r>
        <w:rPr>
          <w:rFonts w:hint="eastAsia" w:ascii="宋体" w:hAnsi="宋体" w:eastAsia="方正小标宋简体"/>
          <w:b w:val="0"/>
          <w:bCs w:val="0"/>
          <w:sz w:val="44"/>
          <w:szCs w:val="44"/>
          <w:lang w:eastAsia="zh-CN"/>
        </w:rPr>
        <w:t>第二轮中央生态环境保护督察</w:t>
      </w:r>
      <w:r>
        <w:rPr>
          <w:rFonts w:hint="eastAsia" w:ascii="宋体" w:hAnsi="宋体" w:eastAsia="方正小标宋简体"/>
          <w:b w:val="0"/>
          <w:bCs w:val="0"/>
          <w:sz w:val="44"/>
          <w:szCs w:val="44"/>
        </w:rPr>
        <w:t>第</w:t>
      </w:r>
      <w:r>
        <w:rPr>
          <w:rFonts w:hint="eastAsia" w:ascii="宋体" w:hAnsi="宋体" w:eastAsia="方正小标宋简体"/>
          <w:b w:val="0"/>
          <w:bCs w:val="0"/>
          <w:sz w:val="44"/>
          <w:szCs w:val="44"/>
          <w:lang w:val="en-US" w:eastAsia="zh-CN"/>
        </w:rPr>
        <w:t>1</w:t>
      </w:r>
      <w:r>
        <w:rPr>
          <w:rFonts w:hint="eastAsia" w:ascii="宋体" w:hAnsi="宋体" w:eastAsia="方正小标宋简体"/>
          <w:b w:val="0"/>
          <w:bCs w:val="0"/>
          <w:sz w:val="44"/>
          <w:szCs w:val="44"/>
        </w:rPr>
        <w:t>项</w:t>
      </w:r>
    </w:p>
    <w:p>
      <w:pPr>
        <w:pStyle w:val="10"/>
        <w:widowControl/>
        <w:spacing w:line="640" w:lineRule="exact"/>
        <w:ind w:firstLine="0" w:firstLineChars="0"/>
        <w:jc w:val="center"/>
        <w:rPr>
          <w:rFonts w:ascii="宋体" w:hAnsi="宋体" w:eastAsia="方正小标宋简体"/>
          <w:b w:val="0"/>
          <w:bCs w:val="0"/>
          <w:spacing w:val="-6"/>
          <w:sz w:val="44"/>
          <w:szCs w:val="44"/>
        </w:rPr>
      </w:pPr>
      <w:r>
        <w:rPr>
          <w:rFonts w:hint="eastAsia" w:ascii="宋体" w:hAnsi="宋体" w:eastAsia="方正小标宋简体"/>
          <w:b w:val="0"/>
          <w:bCs w:val="0"/>
          <w:sz w:val="44"/>
          <w:szCs w:val="44"/>
        </w:rPr>
        <w:t>整改任务验收销</w:t>
      </w:r>
      <w:r>
        <w:rPr>
          <w:rFonts w:hint="eastAsia" w:ascii="宋体" w:hAnsi="宋体" w:eastAsia="方正小标宋简体"/>
          <w:b w:val="0"/>
          <w:bCs w:val="0"/>
          <w:spacing w:val="-6"/>
          <w:sz w:val="44"/>
          <w:szCs w:val="44"/>
        </w:rPr>
        <w:t>号确认表</w:t>
      </w:r>
    </w:p>
    <w:p>
      <w:pPr>
        <w:pStyle w:val="10"/>
        <w:widowControl/>
        <w:spacing w:line="400" w:lineRule="exact"/>
        <w:ind w:firstLine="0" w:firstLineChars="0"/>
        <w:jc w:val="center"/>
        <w:rPr>
          <w:rFonts w:ascii="宋体" w:hAnsi="宋体" w:eastAsia="方正小标宋简体"/>
          <w:b w:val="0"/>
          <w:bCs w:val="0"/>
          <w:sz w:val="15"/>
          <w:szCs w:val="15"/>
        </w:rPr>
      </w:pPr>
    </w:p>
    <w:tbl>
      <w:tblPr>
        <w:tblStyle w:val="7"/>
        <w:tblW w:w="86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24"/>
        <w:gridCol w:w="66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9" w:hRule="atLeast"/>
          <w:jc w:val="center"/>
        </w:trPr>
        <w:tc>
          <w:tcPr>
            <w:tcW w:w="2024" w:type="dxa"/>
            <w:noWrap w:val="0"/>
            <w:vAlign w:val="center"/>
          </w:tcPr>
          <w:p>
            <w:pPr>
              <w:keepNext w:val="0"/>
              <w:keepLines w:val="0"/>
              <w:pageBreakBefore w:val="0"/>
              <w:widowControl w:val="0"/>
              <w:kinsoku/>
              <w:wordWrap/>
              <w:overflowPunct/>
              <w:topLinePunct w:val="0"/>
              <w:autoSpaceDE/>
              <w:autoSpaceDN/>
              <w:bidi w:val="0"/>
              <w:adjustRightInd/>
              <w:snapToGrid/>
              <w:ind w:left="0" w:leftChars="0" w:firstLine="0" w:firstLineChars="0"/>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整改任务</w:t>
            </w:r>
          </w:p>
        </w:tc>
        <w:tc>
          <w:tcPr>
            <w:tcW w:w="6662"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ind w:left="0" w:firstLine="562" w:firstLineChars="200"/>
              <w:jc w:val="both"/>
              <w:textAlignment w:val="bottom"/>
              <w:rPr>
                <w:rFonts w:hint="default" w:ascii="宋体" w:hAnsi="宋体" w:eastAsia="仿宋_GB2312"/>
                <w:b w:val="0"/>
                <w:bCs w:val="0"/>
                <w:kern w:val="0"/>
                <w:sz w:val="36"/>
                <w:szCs w:val="36"/>
                <w:lang w:val="en-US" w:eastAsia="zh-CN"/>
              </w:rPr>
            </w:pPr>
            <w:r>
              <w:rPr>
                <w:rFonts w:hint="eastAsia" w:ascii="宋体" w:hAnsi="宋体" w:eastAsia="仿宋_GB2312" w:cs="仿宋_GB2312"/>
                <w:b/>
                <w:bCs/>
                <w:color w:val="000000"/>
                <w:kern w:val="0"/>
                <w:sz w:val="28"/>
                <w:szCs w:val="28"/>
                <w:lang w:val="en-US" w:eastAsia="zh-CN" w:bidi="ar"/>
              </w:rPr>
              <w:t>省方案</w:t>
            </w:r>
            <w:r>
              <w:rPr>
                <w:rFonts w:hint="eastAsia" w:ascii="宋体" w:hAnsi="宋体" w:cs="宋体"/>
                <w:b/>
                <w:bCs/>
                <w:color w:val="000000"/>
                <w:kern w:val="0"/>
                <w:sz w:val="28"/>
                <w:szCs w:val="28"/>
                <w:lang w:val="en-US" w:eastAsia="zh-CN" w:bidi="ar"/>
              </w:rPr>
              <w:t>1</w:t>
            </w:r>
            <w:r>
              <w:rPr>
                <w:rFonts w:hint="eastAsia" w:ascii="宋体" w:hAnsi="宋体" w:eastAsia="仿宋_GB2312" w:cs="仿宋_GB2312"/>
                <w:b/>
                <w:bCs/>
                <w:color w:val="000000"/>
                <w:kern w:val="0"/>
                <w:sz w:val="28"/>
                <w:szCs w:val="28"/>
                <w:lang w:val="en-US" w:eastAsia="zh-CN" w:bidi="ar"/>
              </w:rPr>
              <w:t>：</w:t>
            </w:r>
            <w:r>
              <w:rPr>
                <w:rFonts w:hint="eastAsia" w:ascii="宋体" w:hAnsi="宋体" w:eastAsia="仿宋_GB2312" w:cs="仿宋_GB2312"/>
                <w:b w:val="0"/>
                <w:bCs w:val="0"/>
                <w:kern w:val="0"/>
                <w:sz w:val="28"/>
                <w:szCs w:val="28"/>
                <w:lang w:val="en-US" w:eastAsia="zh-CN"/>
              </w:rPr>
              <w:t>一些地方和部门贯彻落实习近平生态文明思想还不到位。习近平总书记2018年考察山东时强调，长期以来，山东省在发展经济中付出的环境代价不小，要牢固树立绿水青山就是金山银山的理念。督察发现，山东省一些地方和部门对此认识不够深刻、贯彻不够坚决，以生态环境高水平保护推动经济高质量发展的内生动力不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7" w:hRule="atLeast"/>
          <w:jc w:val="center"/>
        </w:trPr>
        <w:tc>
          <w:tcPr>
            <w:tcW w:w="2024" w:type="dxa"/>
            <w:noWrap w:val="0"/>
            <w:vAlign w:val="center"/>
          </w:tcPr>
          <w:p>
            <w:pPr>
              <w:keepNext w:val="0"/>
              <w:keepLines w:val="0"/>
              <w:pageBreakBefore w:val="0"/>
              <w:widowControl w:val="0"/>
              <w:kinsoku/>
              <w:wordWrap/>
              <w:overflowPunct/>
              <w:topLinePunct w:val="0"/>
              <w:autoSpaceDE/>
              <w:autoSpaceDN/>
              <w:bidi w:val="0"/>
              <w:adjustRightInd/>
              <w:snapToGrid/>
              <w:ind w:left="0" w:leftChars="0" w:firstLine="0" w:firstLineChars="0"/>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整改目标</w:t>
            </w:r>
          </w:p>
          <w:p>
            <w:pPr>
              <w:keepNext w:val="0"/>
              <w:keepLines w:val="0"/>
              <w:pageBreakBefore w:val="0"/>
              <w:widowControl w:val="0"/>
              <w:kinsoku/>
              <w:wordWrap/>
              <w:overflowPunct/>
              <w:topLinePunct w:val="0"/>
              <w:autoSpaceDE/>
              <w:autoSpaceDN/>
              <w:bidi w:val="0"/>
              <w:adjustRightInd/>
              <w:snapToGrid/>
              <w:ind w:left="0" w:leftChars="0" w:firstLine="0" w:firstLineChars="0"/>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及完成情况</w:t>
            </w:r>
          </w:p>
        </w:tc>
        <w:tc>
          <w:tcPr>
            <w:tcW w:w="6662" w:type="dxa"/>
            <w:noWrap w:val="0"/>
            <w:vAlign w:val="top"/>
          </w:tcPr>
          <w:p>
            <w:pPr>
              <w:keepNext w:val="0"/>
              <w:keepLines w:val="0"/>
              <w:pageBreakBefore w:val="0"/>
              <w:widowControl/>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bCs/>
                <w:kern w:val="0"/>
                <w:sz w:val="28"/>
                <w:szCs w:val="28"/>
                <w:lang w:eastAsia="zh-CN"/>
              </w:rPr>
              <w:t>省整改方案明确的整改目标：</w:t>
            </w:r>
            <w:r>
              <w:rPr>
                <w:rFonts w:hint="eastAsia" w:ascii="宋体" w:hAnsi="宋体" w:eastAsia="仿宋_GB2312" w:cs="仿宋_GB2312"/>
                <w:b w:val="0"/>
                <w:bCs w:val="0"/>
                <w:kern w:val="0"/>
                <w:sz w:val="28"/>
                <w:szCs w:val="28"/>
                <w:lang w:eastAsia="zh-CN"/>
              </w:rPr>
              <w:t>深入贯彻落实习近平生态文明思想，以生态环境高水平保护推动经济高质量发展。</w:t>
            </w:r>
          </w:p>
          <w:p>
            <w:pPr>
              <w:keepNext w:val="0"/>
              <w:keepLines w:val="0"/>
              <w:pageBreakBefore w:val="0"/>
              <w:widowControl/>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bCs/>
                <w:kern w:val="0"/>
                <w:sz w:val="28"/>
                <w:szCs w:val="28"/>
                <w:lang w:eastAsia="zh-CN"/>
              </w:rPr>
              <w:t>威海市整改方案明确的整改目标：</w:t>
            </w:r>
            <w:r>
              <w:rPr>
                <w:rFonts w:hint="eastAsia" w:ascii="宋体" w:hAnsi="宋体" w:eastAsia="仿宋_GB2312" w:cs="仿宋_GB2312"/>
                <w:b w:val="0"/>
                <w:bCs w:val="0"/>
                <w:kern w:val="0"/>
                <w:sz w:val="28"/>
                <w:szCs w:val="28"/>
                <w:lang w:eastAsia="zh-CN"/>
              </w:rPr>
              <w:t>深入贯彻落实习近平生态文明思想，牢固树立“绿水青山就是金山银山”理念，以生态环境高水平保护推动经济高质量发展。</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562" w:firstLineChars="200"/>
              <w:jc w:val="both"/>
              <w:rPr>
                <w:rFonts w:hint="default" w:ascii="宋体" w:hAnsi="宋体" w:eastAsia="仿宋_GB2312"/>
                <w:b w:val="0"/>
                <w:bCs w:val="0"/>
                <w:kern w:val="0"/>
                <w:sz w:val="36"/>
                <w:szCs w:val="36"/>
                <w:lang w:val="en-US" w:eastAsia="zh-CN"/>
              </w:rPr>
            </w:pPr>
            <w:r>
              <w:rPr>
                <w:rFonts w:hint="eastAsia" w:ascii="宋体" w:hAnsi="宋体" w:eastAsia="仿宋_GB2312" w:cs="仿宋_GB2312"/>
                <w:b/>
                <w:bCs/>
                <w:kern w:val="0"/>
                <w:sz w:val="28"/>
                <w:szCs w:val="28"/>
                <w:lang w:eastAsia="zh-CN"/>
              </w:rPr>
              <w:t>完成情况</w:t>
            </w:r>
            <w:r>
              <w:rPr>
                <w:rFonts w:hint="eastAsia" w:ascii="宋体" w:hAnsi="宋体" w:eastAsia="仿宋_GB2312" w:cs="仿宋_GB2312"/>
                <w:b/>
                <w:bCs/>
                <w:sz w:val="28"/>
                <w:szCs w:val="28"/>
                <w:lang w:eastAsia="zh-CN"/>
              </w:rPr>
              <w:t>：</w:t>
            </w:r>
            <w:r>
              <w:rPr>
                <w:rFonts w:hint="eastAsia" w:ascii="宋体" w:hAnsi="宋体" w:eastAsia="仿宋_GB2312" w:cs="仿宋_GB2312"/>
                <w:b w:val="0"/>
                <w:bCs w:val="0"/>
                <w:kern w:val="0"/>
                <w:sz w:val="28"/>
                <w:szCs w:val="28"/>
                <w:lang w:val="en-US" w:eastAsia="zh-CN"/>
              </w:rPr>
              <w:t>已完成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3" w:hRule="atLeast"/>
          <w:jc w:val="center"/>
        </w:trPr>
        <w:tc>
          <w:tcPr>
            <w:tcW w:w="2024" w:type="dxa"/>
            <w:noWrap w:val="0"/>
            <w:vAlign w:val="center"/>
          </w:tcPr>
          <w:p>
            <w:pPr>
              <w:keepNext w:val="0"/>
              <w:keepLines w:val="0"/>
              <w:pageBreakBefore w:val="0"/>
              <w:widowControl/>
              <w:kinsoku/>
              <w:wordWrap/>
              <w:overflowPunct/>
              <w:topLinePunct w:val="0"/>
              <w:autoSpaceDE/>
              <w:autoSpaceDN/>
              <w:bidi w:val="0"/>
              <w:adjustRightInd/>
              <w:snapToGrid/>
              <w:spacing w:line="440" w:lineRule="exact"/>
              <w:ind w:left="0" w:leftChars="0" w:firstLine="0" w:firstLineChars="0"/>
              <w:jc w:val="center"/>
              <w:rPr>
                <w:rFonts w:hint="eastAsia" w:ascii="宋体" w:hAnsi="宋体" w:eastAsia="楷体_GB2312"/>
                <w:b w:val="0"/>
                <w:bCs w:val="0"/>
                <w:kern w:val="0"/>
                <w:sz w:val="32"/>
                <w:szCs w:val="32"/>
              </w:rPr>
            </w:pPr>
          </w:p>
          <w:p>
            <w:pPr>
              <w:keepNext w:val="0"/>
              <w:keepLines w:val="0"/>
              <w:pageBreakBefore w:val="0"/>
              <w:widowControl/>
              <w:kinsoku/>
              <w:wordWrap/>
              <w:overflowPunct/>
              <w:topLinePunct w:val="0"/>
              <w:autoSpaceDE/>
              <w:autoSpaceDN/>
              <w:bidi w:val="0"/>
              <w:adjustRightInd/>
              <w:snapToGrid/>
              <w:spacing w:line="440" w:lineRule="exact"/>
              <w:ind w:left="0" w:leftChars="0" w:firstLine="0" w:firstLineChars="0"/>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整改措施</w:t>
            </w:r>
          </w:p>
          <w:p>
            <w:pPr>
              <w:keepNext w:val="0"/>
              <w:keepLines w:val="0"/>
              <w:pageBreakBefore w:val="0"/>
              <w:widowControl w:val="0"/>
              <w:kinsoku/>
              <w:wordWrap/>
              <w:overflowPunct/>
              <w:topLinePunct w:val="0"/>
              <w:autoSpaceDE/>
              <w:autoSpaceDN/>
              <w:bidi w:val="0"/>
              <w:adjustRightInd/>
              <w:snapToGrid/>
              <w:ind w:left="0" w:leftChars="0" w:firstLine="0" w:firstLineChars="0"/>
              <w:jc w:val="center"/>
              <w:rPr>
                <w:rFonts w:hint="eastAsia" w:ascii="宋体" w:hAnsi="宋体" w:eastAsia="楷体_GB2312"/>
                <w:b w:val="0"/>
                <w:bCs w:val="0"/>
                <w:kern w:val="0"/>
                <w:sz w:val="32"/>
                <w:szCs w:val="32"/>
              </w:rPr>
            </w:pPr>
            <w:r>
              <w:rPr>
                <w:rFonts w:hint="eastAsia" w:ascii="宋体" w:hAnsi="宋体" w:eastAsia="楷体_GB2312"/>
                <w:b w:val="0"/>
                <w:bCs w:val="0"/>
                <w:kern w:val="0"/>
                <w:sz w:val="32"/>
                <w:szCs w:val="32"/>
              </w:rPr>
              <w:t>及具体落实情况</w:t>
            </w:r>
          </w:p>
        </w:tc>
        <w:tc>
          <w:tcPr>
            <w:tcW w:w="6662" w:type="dxa"/>
            <w:noWrap w:val="0"/>
            <w:vAlign w:val="top"/>
          </w:tcPr>
          <w:p>
            <w:pPr>
              <w:keepNext w:val="0"/>
              <w:keepLines w:val="0"/>
              <w:pageBreakBefore w:val="0"/>
              <w:widowControl/>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仿宋_GB2312" w:cs="仿宋_GB2312"/>
                <w:b/>
                <w:bCs/>
                <w:kern w:val="0"/>
                <w:sz w:val="28"/>
                <w:szCs w:val="28"/>
                <w:lang w:eastAsia="zh-CN"/>
              </w:rPr>
            </w:pPr>
            <w:r>
              <w:rPr>
                <w:rFonts w:hint="eastAsia" w:ascii="宋体" w:hAnsi="宋体" w:eastAsia="仿宋_GB2312" w:cs="仿宋_GB2312"/>
                <w:b/>
                <w:bCs/>
                <w:kern w:val="0"/>
                <w:sz w:val="28"/>
                <w:szCs w:val="28"/>
                <w:lang w:eastAsia="zh-CN"/>
              </w:rPr>
              <w:t>省整改方案明确的整改措施：</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一</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扛牢政治责任。深入贯彻习近平生态文明思想和习近平总书记视察山东重要指示要求，增强“四个意识”、坚定“四个自信”、做到“两个维护”，践行绿水青山就是金山银山理念，严格落实“第一议题”制度，统筹推进经济高质量发展与生态环境高水平保护，加快构建减污降碳一体谋划、一体部署、一体推进的制度机制，确保习近平生态文明思想在山东落地生根、开花结果。</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二</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强化理论武装。把习近平总书记关于生态文明建设和生态环境保护的重要论述以及中央相关决策部署纳入各级党委理论学习计划。把习近平生态文明思想列入各级党校、干部学院等培训教学重要内容。</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三</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压实工作责任。各设区市党委、政府以及省直有关部门每季度至少一次专题研究生态环境保护工作。各级政府每年向同级人大常委会汇报生态文明建设和生态环境保护目标完成情况。每年度各市生态环境</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保护</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委员会制定工作要点，明确生态环境领域工作目标和重点任务，至少召开一次生态环境</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保护</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委员会全体会议。</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四</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完善政策措施。加快制定全省落实深入打好污染防治攻坚战的具体措施，深入开展重点区域、重点领域、重点行业监督帮扶。把生态环境作为全省财政支出的重点领域。</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五</w:t>
            </w:r>
            <w:r>
              <w:rPr>
                <w:rFonts w:hint="default" w:ascii="宋体" w:hAnsi="宋体" w:eastAsia="仿宋_GB2312" w:cs="仿宋_GB2312"/>
                <w:b w:val="0"/>
                <w:bCs w:val="0"/>
                <w:kern w:val="0"/>
                <w:sz w:val="28"/>
                <w:szCs w:val="28"/>
                <w:lang w:val="en" w:eastAsia="zh-CN"/>
              </w:rPr>
              <w:t>）</w:t>
            </w:r>
            <w:r>
              <w:rPr>
                <w:rFonts w:hint="eastAsia" w:ascii="宋体" w:hAnsi="宋体" w:eastAsia="仿宋_GB2312" w:cs="仿宋_GB2312"/>
                <w:b w:val="0"/>
                <w:bCs w:val="0"/>
                <w:kern w:val="0"/>
                <w:sz w:val="28"/>
                <w:szCs w:val="28"/>
                <w:lang w:eastAsia="zh-CN"/>
              </w:rPr>
              <w:t>严格责任追究。落实生态环境保护“党政同责、一岗双责”和“管发展、管生产、管行业必须管环保”要求，认真开展领导干部自然资源资产离任审计，严格执行生态环境损害责任终身追究制度。</w:t>
            </w:r>
          </w:p>
          <w:p>
            <w:pPr>
              <w:keepNext w:val="0"/>
              <w:keepLines w:val="0"/>
              <w:pageBreakBefore w:val="0"/>
              <w:widowControl/>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仿宋_GB2312" w:cs="仿宋_GB2312"/>
                <w:b/>
                <w:bCs/>
                <w:kern w:val="0"/>
                <w:sz w:val="28"/>
                <w:szCs w:val="28"/>
                <w:lang w:eastAsia="zh-CN"/>
              </w:rPr>
            </w:pPr>
            <w:r>
              <w:rPr>
                <w:rFonts w:hint="eastAsia" w:ascii="宋体" w:hAnsi="宋体" w:eastAsia="仿宋_GB2312" w:cs="仿宋_GB2312"/>
                <w:b/>
                <w:bCs/>
                <w:kern w:val="0"/>
                <w:sz w:val="28"/>
                <w:szCs w:val="28"/>
                <w:lang w:eastAsia="zh-CN"/>
              </w:rPr>
              <w:t>威海市整改方案明确的整改措施：</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val="0"/>
                <w:bCs w:val="0"/>
                <w:kern w:val="0"/>
                <w:sz w:val="28"/>
                <w:szCs w:val="28"/>
                <w:lang w:eastAsia="zh-CN"/>
              </w:rPr>
              <w:t>（一）进一步扛牢政治责任。深入贯彻习近平生态文明思想，按照习近平总书记对山东工作的重要指示要求，增强“四个意识”、坚定“四个自信”、做到“两个维护”，践行“绿水青山就是金山银山”理念，严格落实“第一议题”制度，及时学习贯彻党中央、国务院关于生态环境保护工作决策部署和省委、省政府工作要求，以生态环境高水平保护推动经济高质量发展，以实现减污降碳协同增效为总抓手，坚持减污降碳一体谋划、一体部署、一体推进，促进经济社会发展全面绿色转型。</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val="0"/>
                <w:bCs w:val="0"/>
                <w:kern w:val="0"/>
                <w:sz w:val="28"/>
                <w:szCs w:val="28"/>
                <w:lang w:eastAsia="zh-CN"/>
              </w:rPr>
              <w:t>（二）坚持强化理论武装。把习近平生态文明思想以及中央相关决策部署纳入各级党委（党组）理论学习计划，列入各级党校教学重要内容，努力学懂弄通做实习近平生态文明思想。</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val="0"/>
                <w:bCs w:val="0"/>
                <w:kern w:val="0"/>
                <w:sz w:val="28"/>
                <w:szCs w:val="28"/>
                <w:lang w:eastAsia="zh-CN"/>
              </w:rPr>
              <w:t>（三）压紧压实工作责任。各区市党委、政府和开发区工委、管委以及市直有关部门每季度至少专题研究1次生态环境保护工作。各级政府每年向同级人大常委会报告生态文明建设和生态环境保护目标完成情况。各级生态环境委员会坚持每年制定年度工作要点，明确生态环境领域年度工作目标和重点任务，至少召开2次生态环境委员会全体会议，各成员单位每年报告生态环境职责履行情况。</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val="0"/>
                <w:bCs w:val="0"/>
                <w:kern w:val="0"/>
                <w:sz w:val="28"/>
                <w:szCs w:val="28"/>
                <w:lang w:eastAsia="zh-CN"/>
              </w:rPr>
              <w:t>（四）完善政策措施。按照全省统一部署，加快制定全市深入打好污染防治攻坚战的具体措施，深入开展重点区域、重点领域、重点行业监督帮扶。把生态环境作为全市财政支出的重点领域。</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eastAsia" w:ascii="宋体" w:hAnsi="宋体" w:eastAsia="仿宋_GB2312" w:cs="仿宋_GB2312"/>
                <w:b w:val="0"/>
                <w:bCs w:val="0"/>
                <w:kern w:val="0"/>
                <w:sz w:val="28"/>
                <w:szCs w:val="28"/>
                <w:lang w:eastAsia="zh-CN"/>
              </w:rPr>
            </w:pPr>
            <w:r>
              <w:rPr>
                <w:rFonts w:hint="eastAsia" w:ascii="宋体" w:hAnsi="宋体" w:eastAsia="仿宋_GB2312" w:cs="仿宋_GB2312"/>
                <w:b w:val="0"/>
                <w:bCs w:val="0"/>
                <w:kern w:val="0"/>
                <w:sz w:val="28"/>
                <w:szCs w:val="28"/>
                <w:lang w:eastAsia="zh-CN"/>
              </w:rPr>
              <w:t>（五）严格责任追究。进一步落实生态环境保护“党政同责、一岗双责”，压实区市（开发区）属地责任、“管发展、管生产、管行业必须管环保”行业主管责任、生态环境部门统一监管责任、企业主体责任，认真开展领导干部自然资源资产离任审计，严格执行生态环境损害责任终身追究制度，推动各项工作落实落地落细。</w:t>
            </w:r>
          </w:p>
          <w:p>
            <w:pPr>
              <w:keepNext w:val="0"/>
              <w:keepLines w:val="0"/>
              <w:pageBreakBefore w:val="0"/>
              <w:widowControl w:val="0"/>
              <w:kinsoku/>
              <w:wordWrap/>
              <w:overflowPunct/>
              <w:topLinePunct w:val="0"/>
              <w:autoSpaceDE/>
              <w:autoSpaceDN/>
              <w:bidi w:val="0"/>
              <w:adjustRightInd/>
              <w:snapToGrid/>
              <w:spacing w:line="440" w:lineRule="exact"/>
              <w:ind w:left="0" w:firstLine="562" w:firstLineChars="200"/>
              <w:jc w:val="both"/>
              <w:rPr>
                <w:rFonts w:hint="eastAsia" w:ascii="宋体" w:hAnsi="宋体" w:eastAsia="仿宋_GB2312" w:cs="仿宋_GB2312"/>
                <w:b/>
                <w:bCs/>
                <w:kern w:val="0"/>
                <w:sz w:val="28"/>
                <w:szCs w:val="28"/>
                <w:lang w:eastAsia="zh-CN"/>
              </w:rPr>
            </w:pPr>
            <w:r>
              <w:rPr>
                <w:rFonts w:hint="eastAsia" w:ascii="宋体" w:hAnsi="宋体" w:eastAsia="仿宋_GB2312" w:cs="仿宋_GB2312"/>
                <w:b/>
                <w:bCs/>
                <w:kern w:val="0"/>
                <w:sz w:val="28"/>
                <w:szCs w:val="28"/>
                <w:lang w:eastAsia="zh-CN"/>
              </w:rPr>
              <w:t>具体落实情况：</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default" w:ascii="宋体" w:hAnsi="宋体" w:eastAsia="仿宋_GB2312" w:cs="仿宋_GB2312"/>
                <w:b w:val="0"/>
                <w:bCs w:val="0"/>
                <w:kern w:val="0"/>
                <w:sz w:val="28"/>
                <w:szCs w:val="28"/>
                <w:lang w:val="en-US" w:eastAsia="zh-CN"/>
              </w:rPr>
            </w:pPr>
            <w:r>
              <w:rPr>
                <w:rFonts w:hint="default" w:ascii="宋体" w:hAnsi="宋体" w:eastAsia="仿宋_GB2312" w:cs="仿宋_GB2312"/>
                <w:b w:val="0"/>
                <w:bCs w:val="0"/>
                <w:kern w:val="0"/>
                <w:sz w:val="28"/>
                <w:szCs w:val="28"/>
                <w:lang w:val="en-US" w:eastAsia="zh-CN"/>
              </w:rPr>
              <w:t>一、强化理论武装，扛牢政治责任。市住建局高度重视生态文明建设工作，通过召开党组会、研讨会、培训会等多种形式深入学习习近平生态文明思想，深入贯彻落实党中央国务院关于生态环境保护工作决策部署和省委、省政府工作要求。按照习近平总书记对山东工作的重要指示要求，增强“四个意识”、坚定“四个自信”、做到“两个维护”，践行“绿水青山就是金山银山”理念，严格落实“第一议题”制度。以生态环境高水平保护推动经济高质量发展，促进经济社会发展全面绿色转型。</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default" w:ascii="宋体" w:hAnsi="宋体" w:eastAsia="仿宋_GB2312" w:cs="仿宋_GB2312"/>
                <w:b w:val="0"/>
                <w:bCs w:val="0"/>
                <w:kern w:val="0"/>
                <w:sz w:val="28"/>
                <w:szCs w:val="28"/>
                <w:lang w:val="en-US" w:eastAsia="zh-CN"/>
              </w:rPr>
            </w:pPr>
            <w:r>
              <w:rPr>
                <w:rFonts w:hint="default" w:ascii="宋体" w:hAnsi="宋体" w:eastAsia="仿宋_GB2312" w:cs="仿宋_GB2312"/>
                <w:b w:val="0"/>
                <w:bCs w:val="0"/>
                <w:kern w:val="0"/>
                <w:sz w:val="28"/>
                <w:szCs w:val="28"/>
                <w:lang w:val="en-US" w:eastAsia="zh-CN"/>
              </w:rPr>
              <w:t>二、立足自身职能，推动绿色转型。市住建局通过大力推广绿色建筑，推动城镇新建民用建筑严格执行绿色建筑设计标准，不断提高装配式建筑、绿色建筑占新建建筑的比例；完善城市园林绿地服务功能，新建、改造口袋公园和绿道，满足群众休闲需求；推进工地扬尘管控差别化管理，提高建筑施工扬尘管理精细化水平；规范生活垃圾、建筑垃圾管理流程，提高智慧化管理水平，以及发展乳山核能供暖、健全生活垃圾分类体制机制建设等手段途径推动绿色低碳高质量发展。</w:t>
            </w:r>
          </w:p>
          <w:p>
            <w:pPr>
              <w:keepNext w:val="0"/>
              <w:keepLines w:val="0"/>
              <w:pageBreakBefore w:val="0"/>
              <w:widowControl/>
              <w:kinsoku/>
              <w:wordWrap/>
              <w:overflowPunct/>
              <w:topLinePunct w:val="0"/>
              <w:autoSpaceDE/>
              <w:autoSpaceDN/>
              <w:bidi w:val="0"/>
              <w:adjustRightInd/>
              <w:snapToGrid/>
              <w:spacing w:line="360" w:lineRule="exact"/>
              <w:ind w:firstLine="560" w:firstLineChars="200"/>
              <w:jc w:val="both"/>
              <w:textAlignment w:val="auto"/>
              <w:rPr>
                <w:rFonts w:hint="default" w:ascii="宋体" w:hAnsi="宋体" w:eastAsia="仿宋_GB2312" w:cs="仿宋_GB2312"/>
                <w:b/>
                <w:bCs/>
                <w:sz w:val="28"/>
                <w:szCs w:val="28"/>
                <w:lang w:val="en-US" w:eastAsia="zh-CN"/>
              </w:rPr>
            </w:pPr>
            <w:r>
              <w:rPr>
                <w:rFonts w:hint="default" w:ascii="宋体" w:hAnsi="宋体" w:eastAsia="仿宋_GB2312" w:cs="仿宋_GB2312"/>
                <w:b w:val="0"/>
                <w:bCs w:val="0"/>
                <w:kern w:val="0"/>
                <w:sz w:val="28"/>
                <w:szCs w:val="28"/>
                <w:lang w:val="en-US" w:eastAsia="zh-CN"/>
              </w:rPr>
              <w:t>三、明确责任分工，强化督导问效。进一步落实生态环境保护“党政同责、一岗双责”，压实属地责任、“管发展、管生产、管行业必须管环保”行业主管责任、企业主体责任。市住建局坚持定期召开专题会议研究生态环境保护工作，依据年度工作目标和重点任务，结合住建领域实际工作情况，扎实推进各项工作落实。出台系列规章文件，健全体制机制，保障相关工作落地见效。不定期开展实地督导检查，督导各区市严格落实生态环境保护方面的法律法规和相关文件，强化生态环境保护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jc w:val="center"/>
        </w:trPr>
        <w:tc>
          <w:tcPr>
            <w:tcW w:w="2024" w:type="dxa"/>
            <w:noWrap w:val="0"/>
            <w:vAlign w:val="center"/>
          </w:tcPr>
          <w:p>
            <w:pPr>
              <w:widowControl/>
              <w:ind w:left="0" w:leftChars="0" w:firstLine="0" w:firstLineChars="0"/>
              <w:jc w:val="center"/>
              <w:rPr>
                <w:rFonts w:hint="eastAsia" w:ascii="宋体" w:hAnsi="宋体" w:eastAsia="楷体_GB2312"/>
                <w:b w:val="0"/>
                <w:bCs w:val="0"/>
                <w:kern w:val="0"/>
                <w:sz w:val="32"/>
                <w:szCs w:val="32"/>
              </w:rPr>
            </w:pPr>
            <w:r>
              <w:rPr>
                <w:rFonts w:hint="eastAsia" w:ascii="宋体" w:hAnsi="宋体" w:eastAsia="楷体_GB2312"/>
                <w:b w:val="0"/>
                <w:bCs w:val="0"/>
                <w:kern w:val="0"/>
                <w:sz w:val="32"/>
                <w:szCs w:val="32"/>
              </w:rPr>
              <w:t>整改任务</w:t>
            </w:r>
          </w:p>
          <w:p>
            <w:pPr>
              <w:widowControl/>
              <w:ind w:left="0" w:leftChars="0" w:firstLine="0" w:firstLineChars="0"/>
              <w:jc w:val="center"/>
              <w:rPr>
                <w:rFonts w:hint="eastAsia" w:ascii="宋体" w:hAnsi="宋体" w:eastAsia="楷体_GB2312"/>
                <w:b w:val="0"/>
                <w:bCs w:val="0"/>
                <w:kern w:val="0"/>
                <w:sz w:val="32"/>
                <w:szCs w:val="32"/>
              </w:rPr>
            </w:pPr>
            <w:r>
              <w:rPr>
                <w:rFonts w:hint="eastAsia" w:ascii="宋体" w:hAnsi="宋体" w:eastAsia="楷体_GB2312"/>
                <w:b w:val="0"/>
                <w:bCs w:val="0"/>
                <w:kern w:val="0"/>
                <w:sz w:val="32"/>
                <w:szCs w:val="32"/>
              </w:rPr>
              <w:t>验收销号</w:t>
            </w:r>
          </w:p>
          <w:p>
            <w:pPr>
              <w:widowControl/>
              <w:ind w:left="0" w:leftChars="0" w:firstLine="0" w:firstLineChars="0"/>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情况</w:t>
            </w:r>
          </w:p>
        </w:tc>
        <w:tc>
          <w:tcPr>
            <w:tcW w:w="6662" w:type="dxa"/>
            <w:noWrap w:val="0"/>
            <w:tcMar>
              <w:top w:w="0" w:type="dxa"/>
              <w:left w:w="0" w:type="dxa"/>
              <w:bottom w:w="0" w:type="dxa"/>
              <w:right w:w="0" w:type="dxa"/>
            </w:tcMar>
            <w:vAlign w:val="center"/>
          </w:tcPr>
          <w:p>
            <w:pPr>
              <w:keepNext w:val="0"/>
              <w:keepLines w:val="0"/>
              <w:pageBreakBefore w:val="0"/>
              <w:widowControl/>
              <w:kinsoku/>
              <w:wordWrap/>
              <w:overflowPunct/>
              <w:topLinePunct w:val="0"/>
              <w:autoSpaceDE/>
              <w:autoSpaceDN/>
              <w:bidi w:val="0"/>
              <w:adjustRightInd/>
              <w:snapToGrid/>
              <w:spacing w:line="440" w:lineRule="exact"/>
              <w:ind w:left="0" w:firstLine="420"/>
              <w:jc w:val="both"/>
              <w:textAlignment w:val="bottom"/>
              <w:rPr>
                <w:rFonts w:hint="eastAsia" w:ascii="宋体" w:hAnsi="宋体" w:eastAsia="仿宋_GB2312" w:cs="仿宋_GB2312"/>
                <w:sz w:val="28"/>
                <w:szCs w:val="28"/>
                <w:lang w:eastAsia="zh-CN"/>
              </w:rPr>
            </w:pPr>
            <w:r>
              <w:rPr>
                <w:rFonts w:hint="eastAsia" w:ascii="宋体" w:hAnsi="宋体" w:eastAsia="仿宋_GB2312" w:cs="仿宋_GB2312"/>
                <w:b w:val="0"/>
                <w:bCs w:val="0"/>
                <w:kern w:val="0"/>
                <w:sz w:val="28"/>
                <w:szCs w:val="28"/>
                <w:lang w:val="en-US" w:eastAsia="zh-CN"/>
              </w:rPr>
              <w:t>202</w:t>
            </w:r>
            <w:r>
              <w:rPr>
                <w:rFonts w:hint="eastAsia" w:ascii="宋体" w:hAnsi="宋体" w:cs="仿宋_GB2312"/>
                <w:b w:val="0"/>
                <w:bCs w:val="0"/>
                <w:kern w:val="0"/>
                <w:sz w:val="28"/>
                <w:szCs w:val="28"/>
                <w:lang w:val="en-US" w:eastAsia="zh-CN"/>
              </w:rPr>
              <w:t>5</w:t>
            </w:r>
            <w:r>
              <w:rPr>
                <w:rFonts w:hint="eastAsia" w:ascii="宋体" w:hAnsi="宋体" w:eastAsia="仿宋_GB2312" w:cs="仿宋_GB2312"/>
                <w:b w:val="0"/>
                <w:bCs w:val="0"/>
                <w:kern w:val="0"/>
                <w:sz w:val="28"/>
                <w:szCs w:val="28"/>
                <w:lang w:eastAsia="zh-CN"/>
              </w:rPr>
              <w:t>年</w:t>
            </w:r>
            <w:r>
              <w:rPr>
                <w:rFonts w:hint="eastAsia" w:ascii="宋体" w:hAnsi="宋体" w:cs="仿宋_GB2312"/>
                <w:b w:val="0"/>
                <w:bCs w:val="0"/>
                <w:kern w:val="0"/>
                <w:sz w:val="28"/>
                <w:szCs w:val="28"/>
                <w:lang w:val="en-US" w:eastAsia="zh-CN"/>
              </w:rPr>
              <w:t>4</w:t>
            </w:r>
            <w:r>
              <w:rPr>
                <w:rFonts w:hint="eastAsia" w:ascii="宋体" w:hAnsi="宋体" w:eastAsia="仿宋_GB2312" w:cs="仿宋_GB2312"/>
                <w:b w:val="0"/>
                <w:bCs w:val="0"/>
                <w:kern w:val="0"/>
                <w:sz w:val="28"/>
                <w:szCs w:val="28"/>
                <w:lang w:eastAsia="zh-CN"/>
              </w:rPr>
              <w:t>月</w:t>
            </w:r>
            <w:r>
              <w:rPr>
                <w:rFonts w:hint="eastAsia" w:ascii="宋体" w:hAnsi="宋体" w:eastAsia="仿宋_GB2312" w:cs="仿宋_GB2312"/>
                <w:b w:val="0"/>
                <w:bCs w:val="0"/>
                <w:kern w:val="0"/>
                <w:sz w:val="28"/>
                <w:szCs w:val="28"/>
                <w:lang w:val="en-US" w:eastAsia="zh-CN"/>
              </w:rPr>
              <w:t>3</w:t>
            </w:r>
            <w:r>
              <w:rPr>
                <w:rFonts w:hint="eastAsia" w:ascii="宋体" w:hAnsi="宋体" w:eastAsia="仿宋_GB2312" w:cs="仿宋_GB2312"/>
                <w:b w:val="0"/>
                <w:bCs w:val="0"/>
                <w:kern w:val="0"/>
                <w:sz w:val="28"/>
                <w:szCs w:val="28"/>
                <w:lang w:eastAsia="zh-CN"/>
              </w:rPr>
              <w:t>日</w:t>
            </w:r>
            <w:r>
              <w:rPr>
                <w:rFonts w:hint="eastAsia" w:ascii="宋体" w:hAnsi="宋体" w:eastAsia="仿宋_GB2312" w:cs="仿宋_GB2312"/>
                <w:sz w:val="28"/>
                <w:szCs w:val="28"/>
                <w:lang w:eastAsia="zh-CN"/>
              </w:rPr>
              <w:t>进行自我验收</w:t>
            </w:r>
            <w:r>
              <w:rPr>
                <w:rFonts w:hint="eastAsia" w:ascii="宋体" w:hAnsi="宋体" w:cs="仿宋_GB2312"/>
                <w:sz w:val="28"/>
                <w:szCs w:val="28"/>
                <w:lang w:eastAsia="zh-CN"/>
              </w:rPr>
              <w:t>；</w:t>
            </w:r>
          </w:p>
          <w:p>
            <w:pPr>
              <w:keepNext w:val="0"/>
              <w:keepLines w:val="0"/>
              <w:pageBreakBefore w:val="0"/>
              <w:widowControl/>
              <w:kinsoku/>
              <w:wordWrap/>
              <w:overflowPunct/>
              <w:topLinePunct w:val="0"/>
              <w:autoSpaceDE/>
              <w:autoSpaceDN/>
              <w:bidi w:val="0"/>
              <w:adjustRightInd/>
              <w:snapToGrid/>
              <w:spacing w:line="440" w:lineRule="exact"/>
              <w:ind w:left="0" w:firstLine="420"/>
              <w:jc w:val="both"/>
              <w:textAlignment w:val="bottom"/>
              <w:rPr>
                <w:rFonts w:hint="eastAsia" w:ascii="宋体" w:hAnsi="宋体" w:eastAsia="仿宋_GB2312" w:cs="仿宋_GB2312"/>
                <w:color w:val="auto"/>
                <w:sz w:val="28"/>
                <w:szCs w:val="28"/>
                <w:lang w:eastAsia="zh-CN"/>
              </w:rPr>
            </w:pPr>
            <w:r>
              <w:rPr>
                <w:rFonts w:hint="eastAsia" w:ascii="宋体" w:hAnsi="宋体" w:eastAsia="仿宋_GB2312" w:cs="仿宋_GB2312"/>
                <w:b w:val="0"/>
                <w:bCs w:val="0"/>
                <w:color w:val="auto"/>
                <w:kern w:val="0"/>
                <w:sz w:val="28"/>
                <w:szCs w:val="28"/>
                <w:lang w:val="en-US" w:eastAsia="zh-CN"/>
              </w:rPr>
              <w:t>202</w:t>
            </w:r>
            <w:r>
              <w:rPr>
                <w:rFonts w:hint="eastAsia" w:ascii="宋体" w:hAnsi="宋体" w:cs="仿宋_GB2312"/>
                <w:b w:val="0"/>
                <w:bCs w:val="0"/>
                <w:color w:val="auto"/>
                <w:kern w:val="0"/>
                <w:sz w:val="28"/>
                <w:szCs w:val="28"/>
                <w:lang w:val="en-US" w:eastAsia="zh-CN"/>
              </w:rPr>
              <w:t>5</w:t>
            </w:r>
            <w:r>
              <w:rPr>
                <w:rFonts w:hint="eastAsia" w:ascii="宋体" w:hAnsi="宋体" w:eastAsia="仿宋_GB2312" w:cs="仿宋_GB2312"/>
                <w:b w:val="0"/>
                <w:bCs w:val="0"/>
                <w:color w:val="auto"/>
                <w:kern w:val="0"/>
                <w:sz w:val="28"/>
                <w:szCs w:val="28"/>
                <w:lang w:eastAsia="zh-CN"/>
              </w:rPr>
              <w:t>年</w:t>
            </w:r>
            <w:r>
              <w:rPr>
                <w:rFonts w:hint="eastAsia" w:ascii="宋体" w:hAnsi="宋体" w:cs="仿宋_GB2312"/>
                <w:b w:val="0"/>
                <w:bCs w:val="0"/>
                <w:color w:val="auto"/>
                <w:kern w:val="0"/>
                <w:sz w:val="28"/>
                <w:szCs w:val="28"/>
                <w:lang w:val="en-US" w:eastAsia="zh-CN"/>
              </w:rPr>
              <w:t>11</w:t>
            </w:r>
            <w:r>
              <w:rPr>
                <w:rFonts w:hint="eastAsia" w:ascii="宋体" w:hAnsi="宋体" w:eastAsia="仿宋_GB2312" w:cs="仿宋_GB2312"/>
                <w:b w:val="0"/>
                <w:bCs w:val="0"/>
                <w:color w:val="auto"/>
                <w:kern w:val="0"/>
                <w:sz w:val="28"/>
                <w:szCs w:val="28"/>
                <w:lang w:eastAsia="zh-CN"/>
              </w:rPr>
              <w:t>月</w:t>
            </w:r>
            <w:r>
              <w:rPr>
                <w:rFonts w:hint="eastAsia" w:ascii="宋体" w:hAnsi="宋体" w:cs="仿宋_GB2312"/>
                <w:b w:val="0"/>
                <w:bCs w:val="0"/>
                <w:color w:val="auto"/>
                <w:kern w:val="0"/>
                <w:sz w:val="28"/>
                <w:szCs w:val="28"/>
                <w:lang w:val="en-US" w:eastAsia="zh-CN"/>
              </w:rPr>
              <w:t>11</w:t>
            </w:r>
            <w:r>
              <w:rPr>
                <w:rFonts w:hint="eastAsia" w:ascii="宋体" w:hAnsi="宋体" w:eastAsia="仿宋_GB2312" w:cs="仿宋_GB2312"/>
                <w:b w:val="0"/>
                <w:bCs w:val="0"/>
                <w:color w:val="auto"/>
                <w:kern w:val="0"/>
                <w:sz w:val="28"/>
                <w:szCs w:val="28"/>
                <w:lang w:eastAsia="zh-CN"/>
              </w:rPr>
              <w:t>日</w:t>
            </w:r>
            <w:r>
              <w:rPr>
                <w:rFonts w:hint="eastAsia" w:ascii="宋体" w:hAnsi="宋体" w:eastAsia="仿宋_GB2312" w:cs="仿宋_GB2312"/>
                <w:sz w:val="28"/>
                <w:szCs w:val="28"/>
                <w:lang w:eastAsia="zh-CN"/>
              </w:rPr>
              <w:t>通过省生态环境保护工作委员会办公室销号验收。</w:t>
            </w:r>
          </w:p>
          <w:p>
            <w:pPr>
              <w:keepNext w:val="0"/>
              <w:keepLines w:val="0"/>
              <w:pageBreakBefore w:val="0"/>
              <w:widowControl/>
              <w:kinsoku/>
              <w:wordWrap/>
              <w:overflowPunct/>
              <w:topLinePunct w:val="0"/>
              <w:autoSpaceDE/>
              <w:autoSpaceDN/>
              <w:bidi w:val="0"/>
              <w:adjustRightInd/>
              <w:snapToGrid/>
              <w:spacing w:line="440" w:lineRule="exact"/>
              <w:ind w:left="0" w:firstLine="420"/>
              <w:jc w:val="both"/>
              <w:textAlignment w:val="bottom"/>
              <w:rPr>
                <w:rFonts w:hint="eastAsia" w:ascii="宋体" w:hAnsi="宋体" w:eastAsia="仿宋_GB2312" w:cs="仿宋_GB2312"/>
                <w:sz w:val="28"/>
                <w:szCs w:val="28"/>
                <w:lang w:eastAsia="zh-CN"/>
              </w:rPr>
            </w:pPr>
          </w:p>
        </w:tc>
      </w:tr>
    </w:tbl>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黑体" w:hAnsi="黑体" w:eastAsia="黑体" w:cs="黑体"/>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57FF382A"/>
    <w:rsid w:val="6FFD3E94"/>
    <w:rsid w:val="7EFA491E"/>
    <w:rsid w:val="CC679E5F"/>
    <w:rsid w:val="DDDFA541"/>
    <w:rsid w:val="F7FFD3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semiHidden/>
    <w:qFormat/>
    <w:uiPriority w:val="0"/>
  </w:style>
  <w:style w:type="paragraph" w:styleId="3">
    <w:name w:val="Body Text"/>
    <w:basedOn w:val="1"/>
    <w:next w:val="4"/>
    <w:qFormat/>
    <w:uiPriority w:val="99"/>
    <w:pPr>
      <w:spacing w:after="120"/>
    </w:pPr>
    <w:rPr>
      <w:rFonts w:ascii="Times New Roman" w:hAnsi="Times New Roman"/>
    </w:rPr>
  </w:style>
  <w:style w:type="paragraph" w:styleId="4">
    <w:name w:val="Body Text First Indent 2"/>
    <w:basedOn w:val="5"/>
    <w:next w:val="1"/>
    <w:unhideWhenUsed/>
    <w:qFormat/>
    <w:uiPriority w:val="99"/>
    <w:pPr>
      <w:spacing w:before="100" w:beforeAutospacing="1"/>
      <w:ind w:firstLine="420" w:firstLineChars="200"/>
    </w:pPr>
    <w:rPr>
      <w:rFonts w:ascii="Calibri" w:hAnsi="Calibri" w:eastAsia="宋体" w:cs="宋体"/>
      <w:szCs w:val="21"/>
    </w:rPr>
  </w:style>
  <w:style w:type="paragraph" w:styleId="5">
    <w:name w:val="Body Text Indent"/>
    <w:basedOn w:val="1"/>
    <w:next w:val="4"/>
    <w:unhideWhenUsed/>
    <w:qFormat/>
    <w:uiPriority w:val="99"/>
    <w:pPr>
      <w:spacing w:after="120"/>
      <w:ind w:left="420" w:leftChars="200"/>
    </w:p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basedOn w:val="8"/>
    <w:qFormat/>
    <w:uiPriority w:val="0"/>
    <w:rPr>
      <w:color w:val="0000FF"/>
      <w:u w:val="single"/>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2018-07-12T23:11:00Z</dcterms:created>
  <dc:creator>d</dc:creator>
  <cp:lastModifiedBy>user</cp:lastModifiedBy>
  <dcterms:modified xsi:type="dcterms:W3CDTF">2025-11-26T16:33:27Z</dcterms:modified>
  <dc:title>附件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