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0" w:firstLineChars="0"/>
        <w:jc w:val="left"/>
        <w:rPr>
          <w:sz w:val="28"/>
          <w:szCs w:val="28"/>
        </w:rPr>
      </w:pPr>
      <w:r>
        <w:rPr>
          <w:sz w:val="28"/>
          <w:szCs w:val="28"/>
        </w:rPr>
        <mc:AlternateContent>
          <mc:Choice Requires="wps">
            <w:drawing>
              <wp:anchor distT="0" distB="45720" distL="114300" distR="114300" simplePos="0" relativeHeight="251656192" behindDoc="0" locked="0" layoutInCell="1" allowOverlap="1">
                <wp:simplePos x="0" y="0"/>
                <wp:positionH relativeFrom="margin">
                  <wp:align>right</wp:align>
                </wp:positionH>
                <wp:positionV relativeFrom="paragraph">
                  <wp:posOffset>154305</wp:posOffset>
                </wp:positionV>
                <wp:extent cx="2730500" cy="927100"/>
                <wp:effectExtent l="0" t="0" r="0" b="6350"/>
                <wp:wrapSquare wrapText="bothSides"/>
                <wp:docPr id="1026" name="文本框 2"/>
                <wp:cNvGraphicFramePr/>
                <a:graphic xmlns:a="http://schemas.openxmlformats.org/drawingml/2006/main">
                  <a:graphicData uri="http://schemas.microsoft.com/office/word/2010/wordprocessingShape">
                    <wps:wsp>
                      <wps:cNvSpPr/>
                      <wps:spPr>
                        <a:xfrm>
                          <a:off x="0" y="0"/>
                          <a:ext cx="2730500" cy="927100"/>
                        </a:xfrm>
                        <a:prstGeom prst="rect">
                          <a:avLst/>
                        </a:prstGeom>
                        <a:solidFill>
                          <a:srgbClr val="FFFFFF"/>
                        </a:solidFill>
                        <a:ln>
                          <a:noFill/>
                        </a:ln>
                      </wps:spPr>
                      <wps:txbx>
                        <w:txbxContent>
                          <w:p>
                            <w:pPr>
                              <w:ind w:firstLine="0" w:firstLineChars="0"/>
                              <w:jc w:val="left"/>
                              <w:rPr>
                                <w:rFonts w:ascii="Times New Roman" w:hAnsi="Times New Roman" w:cs="Times New Roman"/>
                                <w:b/>
                                <w:sz w:val="120"/>
                                <w:szCs w:val="120"/>
                              </w:rPr>
                            </w:pPr>
                            <w:r>
                              <w:rPr>
                                <w:rFonts w:ascii="Times New Roman" w:hAnsi="Times New Roman" w:cs="Times New Roman"/>
                                <w:b/>
                                <w:sz w:val="120"/>
                                <w:szCs w:val="120"/>
                              </w:rPr>
                              <w:t>DB3710</w:t>
                            </w:r>
                          </w:p>
                        </w:txbxContent>
                      </wps:txbx>
                      <wps:bodyPr vert="horz" wrap="square" lIns="0" tIns="45720" rIns="91440" bIns="45720" anchor="t">
                        <a:noAutofit/>
                      </wps:bodyPr>
                    </wps:wsp>
                  </a:graphicData>
                </a:graphic>
              </wp:anchor>
            </w:drawing>
          </mc:Choice>
          <mc:Fallback>
            <w:pict>
              <v:rect id="文本框 2" o:spid="_x0000_s1026" o:spt="1" style="position:absolute;left:0pt;margin-top:12.15pt;height:73pt;width:215pt;mso-position-horizontal:right;mso-position-horizontal-relative:margin;mso-wrap-distance-bottom:3.6pt;mso-wrap-distance-left:9pt;mso-wrap-distance-right:9pt;mso-wrap-distance-top:0pt;z-index:251656192;mso-width-relative:page;mso-height-relative:page;" fillcolor="#FFFFFF" filled="t" stroked="f" coordsize="21600,21600" o:gfxdata="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6tYtjVAAAABwEAAA8AAAAAAAAAAQAgAAAA&#10;IgAAAGRycy9kb3ducmV2LnhtbFBLAQIUABQAAAAIAIdO4kCaC34X1QEAAIUDAAAOAAAAAAAAAAEA&#10;IAAAACQBAABkcnMvZTJvRG9jLnhtbFBLBQYAAAAABgAGAFkBAABrBQAAAAA=&#10;">
                <v:fill on="t" focussize="0,0"/>
                <v:stroke on="f"/>
                <v:imagedata o:title=""/>
                <o:lock v:ext="edit" aspectratio="f"/>
                <v:textbox inset="0mm,1.27mm,2.54mm,1.27mm">
                  <w:txbxContent>
                    <w:p>
                      <w:pPr>
                        <w:ind w:firstLine="0" w:firstLineChars="0"/>
                        <w:jc w:val="left"/>
                        <w:rPr>
                          <w:rFonts w:ascii="Times New Roman" w:hAnsi="Times New Roman" w:cs="Times New Roman"/>
                          <w:b/>
                          <w:sz w:val="120"/>
                          <w:szCs w:val="120"/>
                        </w:rPr>
                      </w:pPr>
                      <w:r>
                        <w:rPr>
                          <w:rFonts w:ascii="Times New Roman" w:hAnsi="Times New Roman" w:cs="Times New Roman"/>
                          <w:b/>
                          <w:sz w:val="120"/>
                          <w:szCs w:val="120"/>
                        </w:rPr>
                        <w:t>DB3710</w:t>
                      </w:r>
                    </w:p>
                  </w:txbxContent>
                </v:textbox>
                <w10:wrap type="square"/>
              </v:rect>
            </w:pict>
          </mc:Fallback>
        </mc:AlternateContent>
      </w:r>
      <w:r>
        <w:rPr>
          <w:sz w:val="28"/>
          <w:szCs w:val="28"/>
        </w:rPr>
        <mc:AlternateContent>
          <mc:Choice Requires="wps">
            <w:drawing>
              <wp:anchor distT="0" distB="45720" distL="114300" distR="114300" simplePos="0" relativeHeight="251657216" behindDoc="0" locked="0" layoutInCell="1" allowOverlap="1">
                <wp:simplePos x="0" y="0"/>
                <wp:positionH relativeFrom="margin">
                  <wp:align>right</wp:align>
                </wp:positionH>
                <wp:positionV relativeFrom="paragraph">
                  <wp:posOffset>0</wp:posOffset>
                </wp:positionV>
                <wp:extent cx="5937250" cy="273050"/>
                <wp:effectExtent l="0" t="0" r="6350" b="0"/>
                <wp:wrapSquare wrapText="bothSides"/>
                <wp:docPr id="1027" name="文本框 2"/>
                <wp:cNvGraphicFramePr/>
                <a:graphic xmlns:a="http://schemas.openxmlformats.org/drawingml/2006/main">
                  <a:graphicData uri="http://schemas.microsoft.com/office/word/2010/wordprocessingShape">
                    <wps:wsp>
                      <wps:cNvSpPr/>
                      <wps:spPr>
                        <a:xfrm>
                          <a:off x="0" y="0"/>
                          <a:ext cx="5937250" cy="273050"/>
                        </a:xfrm>
                        <a:prstGeom prst="rect">
                          <a:avLst/>
                        </a:prstGeom>
                        <a:solidFill>
                          <a:srgbClr val="FFFFFF"/>
                        </a:solidFill>
                        <a:ln>
                          <a:noFill/>
                        </a:ln>
                      </wps:spPr>
                      <wps:txbx>
                        <w:txbxContent>
                          <w:p>
                            <w:pPr>
                              <w:ind w:firstLine="0" w:firstLineChars="0"/>
                              <w:jc w:val="left"/>
                              <w:rPr>
                                <w:rFonts w:ascii="Times New Roman" w:hAnsi="Times New Roman" w:cs="Times New Roman"/>
                                <w:szCs w:val="21"/>
                              </w:rPr>
                            </w:pPr>
                            <w:r>
                              <w:rPr>
                                <w:rFonts w:ascii="Times New Roman" w:hAnsi="Times New Roman" w:cs="Times New Roman"/>
                                <w:szCs w:val="21"/>
                              </w:rPr>
                              <w:t>ICS</w:t>
                            </w:r>
                          </w:p>
                        </w:txbxContent>
                      </wps:txbx>
                      <wps:bodyPr vert="horz" wrap="square" lIns="0" tIns="45720" rIns="91440" bIns="45720" anchor="t">
                        <a:noAutofit/>
                      </wps:bodyPr>
                    </wps:wsp>
                  </a:graphicData>
                </a:graphic>
              </wp:anchor>
            </w:drawing>
          </mc:Choice>
          <mc:Fallback>
            <w:pict>
              <v:rect id="文本框 2" o:spid="_x0000_s1026" o:spt="1" style="position:absolute;left:0pt;margin-top:0pt;height:21.5pt;width:467.5pt;mso-position-horizontal:right;mso-position-horizontal-relative:margin;mso-wrap-distance-bottom:3.6pt;mso-wrap-distance-left:9pt;mso-wrap-distance-right:9pt;mso-wrap-distance-top:0pt;z-index:251657216;mso-width-relative:page;mso-height-relative:page;" fillcolor="#FFFFFF" filled="t" stroked="f" coordsize="21600,21600" o:gfxdata="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sY5z09MAAAAEAQAADwAAAAAAAAABACAAAAAi&#10;AAAAZHJzL2Rvd25yZXYueG1sUEsBAhQAFAAAAAgAh07iQMlzNcrWAQAAhQMAAA4AAAAAAAAAAQAg&#10;AAAAIgEAAGRycy9lMm9Eb2MueG1sUEsFBgAAAAAGAAYAWQEAAGoFAAAAAA==&#10;">
                <v:fill on="t" focussize="0,0"/>
                <v:stroke on="f"/>
                <v:imagedata o:title=""/>
                <o:lock v:ext="edit" aspectratio="f"/>
                <v:textbox inset="0mm,1.27mm,2.54mm,1.27mm">
                  <w:txbxContent>
                    <w:p>
                      <w:pPr>
                        <w:ind w:firstLine="0" w:firstLineChars="0"/>
                        <w:jc w:val="left"/>
                        <w:rPr>
                          <w:rFonts w:ascii="Times New Roman" w:hAnsi="Times New Roman" w:cs="Times New Roman"/>
                          <w:szCs w:val="21"/>
                        </w:rPr>
                      </w:pPr>
                      <w:r>
                        <w:rPr>
                          <w:rFonts w:ascii="Times New Roman" w:hAnsi="Times New Roman" w:cs="Times New Roman"/>
                          <w:szCs w:val="21"/>
                        </w:rPr>
                        <w:t>ICS</w:t>
                      </w:r>
                    </w:p>
                  </w:txbxContent>
                </v:textbox>
                <w10:wrap type="square"/>
              </v:rect>
            </w:pict>
          </mc:Fallback>
        </mc:AlternateContent>
      </w:r>
    </w:p>
    <w:p>
      <w:pPr>
        <w:widowControl/>
        <w:ind w:firstLine="0" w:firstLineChars="0"/>
        <w:jc w:val="left"/>
        <w:rPr>
          <w:rFonts w:ascii="黑体" w:hAnsi="黑体" w:eastAsia="黑体"/>
          <w:sz w:val="28"/>
          <w:szCs w:val="28"/>
        </w:rPr>
      </w:pPr>
      <w:r>
        <w:rPr>
          <w:sz w:val="28"/>
          <w:szCs w:val="28"/>
        </w:rPr>
        <mc:AlternateContent>
          <mc:Choice Requires="wps">
            <w:drawing>
              <wp:anchor distT="0" distB="45720" distL="114300" distR="114300" simplePos="0" relativeHeight="251658240" behindDoc="0" locked="0" layoutInCell="1" allowOverlap="1">
                <wp:simplePos x="0" y="0"/>
                <wp:positionH relativeFrom="margin">
                  <wp:posOffset>3882390</wp:posOffset>
                </wp:positionH>
                <wp:positionV relativeFrom="paragraph">
                  <wp:posOffset>880745</wp:posOffset>
                </wp:positionV>
                <wp:extent cx="2057400" cy="419100"/>
                <wp:effectExtent l="0" t="0" r="0" b="0"/>
                <wp:wrapSquare wrapText="bothSides"/>
                <wp:docPr id="1028" name="文本框 2"/>
                <wp:cNvGraphicFramePr/>
                <a:graphic xmlns:a="http://schemas.openxmlformats.org/drawingml/2006/main">
                  <a:graphicData uri="http://schemas.microsoft.com/office/word/2010/wordprocessingShape">
                    <wps:wsp>
                      <wps:cNvSpPr/>
                      <wps:spPr>
                        <a:xfrm>
                          <a:off x="0" y="0"/>
                          <a:ext cx="2057400" cy="419100"/>
                        </a:xfrm>
                        <a:prstGeom prst="rect">
                          <a:avLst/>
                        </a:prstGeom>
                        <a:solidFill>
                          <a:srgbClr val="FFFFFF"/>
                        </a:solidFill>
                        <a:ln>
                          <a:noFill/>
                        </a:ln>
                      </wps:spPr>
                      <wps:txbx>
                        <w:txbxContent>
                          <w:p>
                            <w:pPr>
                              <w:ind w:firstLine="0" w:firstLineChars="0"/>
                              <w:jc w:val="distribute"/>
                              <w:rPr>
                                <w:rFonts w:ascii="Times New Roman" w:hAnsi="Times New Roman" w:cs="Times New Roman"/>
                                <w:b/>
                                <w:sz w:val="120"/>
                                <w:szCs w:val="120"/>
                              </w:rPr>
                            </w:pPr>
                            <w:r>
                              <w:rPr>
                                <w:rFonts w:ascii="Times New Roman" w:hAnsi="Times New Roman" w:cs="Times New Roman"/>
                                <w:sz w:val="32"/>
                                <w:szCs w:val="32"/>
                              </w:rPr>
                              <w:t xml:space="preserve">DB </w:t>
                            </w:r>
                            <w:r>
                              <w:rPr>
                                <w:rFonts w:ascii="黑体" w:hAnsi="黑体" w:eastAsia="黑体" w:cs="Times New Roman"/>
                                <w:sz w:val="32"/>
                                <w:szCs w:val="32"/>
                              </w:rPr>
                              <w:t>3710/T XXX—2021</w:t>
                            </w:r>
                          </w:p>
                        </w:txbxContent>
                      </wps:txbx>
                      <wps:bodyPr vert="horz" wrap="square" lIns="0" tIns="45720" rIns="91440" bIns="45720" anchor="t">
                        <a:noAutofit/>
                      </wps:bodyPr>
                    </wps:wsp>
                  </a:graphicData>
                </a:graphic>
              </wp:anchor>
            </w:drawing>
          </mc:Choice>
          <mc:Fallback>
            <w:pict>
              <v:rect id="文本框 2" o:spid="_x0000_s1026" o:spt="1" style="position:absolute;left:0pt;margin-left:305.7pt;margin-top:69.35pt;height:33pt;width:162pt;mso-position-horizontal-relative:margin;mso-wrap-distance-bottom:3.6pt;mso-wrap-distance-left:9pt;mso-wrap-distance-right:9pt;mso-wrap-distance-top:0pt;z-index:251658240;mso-width-relative:page;mso-height-relative:page;" fillcolor="#FFFFFF" filled="t" stroked="f" coordsize="21600,21600" o:gfxdata="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tBVuh2gAAAAsBAAAPAAAAAAAAAAEA&#10;IAAAACIAAABkcnMvZG93bnJldi54bWxQSwECFAAUAAAACACHTuJAErCgQdQBAACFAwAADgAAAAAA&#10;AAABACAAAAApAQAAZHJzL2Uyb0RvYy54bWxQSwUGAAAAAAYABgBZAQAAbwUAAAAA&#10;">
                <v:fill on="t" focussize="0,0"/>
                <v:stroke on="f"/>
                <v:imagedata o:title=""/>
                <o:lock v:ext="edit" aspectratio="f"/>
                <v:textbox inset="0mm,1.27mm,2.54mm,1.27mm">
                  <w:txbxContent>
                    <w:p>
                      <w:pPr>
                        <w:ind w:firstLine="0" w:firstLineChars="0"/>
                        <w:jc w:val="distribute"/>
                        <w:rPr>
                          <w:rFonts w:ascii="Times New Roman" w:hAnsi="Times New Roman" w:cs="Times New Roman"/>
                          <w:b/>
                          <w:sz w:val="120"/>
                          <w:szCs w:val="120"/>
                        </w:rPr>
                      </w:pPr>
                      <w:r>
                        <w:rPr>
                          <w:rFonts w:ascii="Times New Roman" w:hAnsi="Times New Roman" w:cs="Times New Roman"/>
                          <w:sz w:val="32"/>
                          <w:szCs w:val="32"/>
                        </w:rPr>
                        <w:t xml:space="preserve">DB </w:t>
                      </w:r>
                      <w:r>
                        <w:rPr>
                          <w:rFonts w:ascii="黑体" w:hAnsi="黑体" w:eastAsia="黑体" w:cs="Times New Roman"/>
                          <w:sz w:val="32"/>
                          <w:szCs w:val="32"/>
                        </w:rPr>
                        <w:t>3710/T XXX—2021</w:t>
                      </w:r>
                    </w:p>
                  </w:txbxContent>
                </v:textbox>
                <w10:wrap type="square"/>
              </v:rect>
            </w:pict>
          </mc:Fallback>
        </mc:AlternateContent>
      </w:r>
      <w:r>
        <w:rPr>
          <w:sz w:val="28"/>
          <w:szCs w:val="28"/>
        </w:rPr>
        <mc:AlternateContent>
          <mc:Choice Requires="wps">
            <w:drawing>
              <wp:anchor distT="0" distB="45720" distL="114300" distR="114300" simplePos="0" relativeHeight="251658240" behindDoc="0" locked="0" layoutInCell="1" allowOverlap="1">
                <wp:simplePos x="0" y="0"/>
                <wp:positionH relativeFrom="margin">
                  <wp:align>right</wp:align>
                </wp:positionH>
                <wp:positionV relativeFrom="paragraph">
                  <wp:posOffset>429895</wp:posOffset>
                </wp:positionV>
                <wp:extent cx="5937250" cy="469900"/>
                <wp:effectExtent l="0" t="0" r="6350" b="6350"/>
                <wp:wrapSquare wrapText="bothSides"/>
                <wp:docPr id="1029" name="文本框 2"/>
                <wp:cNvGraphicFramePr/>
                <a:graphic xmlns:a="http://schemas.openxmlformats.org/drawingml/2006/main">
                  <a:graphicData uri="http://schemas.microsoft.com/office/word/2010/wordprocessingShape">
                    <wps:wsp>
                      <wps:cNvSpPr/>
                      <wps:spPr>
                        <a:xfrm>
                          <a:off x="0" y="0"/>
                          <a:ext cx="5937250" cy="469900"/>
                        </a:xfrm>
                        <a:prstGeom prst="rect">
                          <a:avLst/>
                        </a:prstGeom>
                        <a:solidFill>
                          <a:srgbClr val="FFFFFF"/>
                        </a:solidFill>
                        <a:ln>
                          <a:noFill/>
                        </a:ln>
                      </wps:spPr>
                      <wps:txbx>
                        <w:txbxContent>
                          <w:p>
                            <w:pPr>
                              <w:ind w:firstLine="0" w:firstLineChars="0"/>
                              <w:jc w:val="distribute"/>
                              <w:rPr>
                                <w:rFonts w:ascii="Times New Roman" w:hAnsi="Times New Roman" w:cs="Times New Roman"/>
                                <w:b/>
                                <w:sz w:val="120"/>
                                <w:szCs w:val="120"/>
                              </w:rPr>
                            </w:pPr>
                            <w:r>
                              <w:rPr>
                                <w:rFonts w:hint="eastAsia" w:ascii="黑体" w:hAnsi="黑体" w:eastAsia="黑体"/>
                                <w:sz w:val="48"/>
                                <w:szCs w:val="48"/>
                              </w:rPr>
                              <w:t>威海市地方标准</w:t>
                            </w:r>
                          </w:p>
                        </w:txbxContent>
                      </wps:txbx>
                      <wps:bodyPr vert="horz" wrap="square" lIns="0" tIns="45720" rIns="91440" bIns="45720" anchor="t">
                        <a:noAutofit/>
                      </wps:bodyPr>
                    </wps:wsp>
                  </a:graphicData>
                </a:graphic>
              </wp:anchor>
            </w:drawing>
          </mc:Choice>
          <mc:Fallback>
            <w:pict>
              <v:rect id="文本框 2" o:spid="_x0000_s1026" o:spt="1" style="position:absolute;left:0pt;margin-top:33.85pt;height:37pt;width:467.5pt;mso-position-horizontal:right;mso-position-horizontal-relative:margin;mso-wrap-distance-bottom:3.6pt;mso-wrap-distance-left:9pt;mso-wrap-distance-right:9pt;mso-wrap-distance-top:0pt;z-index:251658240;mso-width-relative:page;mso-height-relative:page;" fillcolor="#FFFFFF" filled="t" stroked="f" coordsize="21600,21600" o:gfxdata="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80bOb1gAAAAcBAAAPAAAAAAAAAAEA&#10;IAAAACIAAABkcnMvZG93bnJldi54bWxQSwECFAAUAAAACACHTuJAw3YJ39gBAACFAwAADgAAAAAA&#10;AAABACAAAAAlAQAAZHJzL2Uyb0RvYy54bWxQSwUGAAAAAAYABgBZAQAAbwUAAAAA&#10;">
                <v:fill on="t" focussize="0,0"/>
                <v:stroke on="f"/>
                <v:imagedata o:title=""/>
                <o:lock v:ext="edit" aspectratio="f"/>
                <v:textbox inset="0mm,1.27mm,2.54mm,1.27mm">
                  <w:txbxContent>
                    <w:p>
                      <w:pPr>
                        <w:ind w:firstLine="0" w:firstLineChars="0"/>
                        <w:jc w:val="distribute"/>
                        <w:rPr>
                          <w:rFonts w:ascii="Times New Roman" w:hAnsi="Times New Roman" w:cs="Times New Roman"/>
                          <w:b/>
                          <w:sz w:val="120"/>
                          <w:szCs w:val="120"/>
                        </w:rPr>
                      </w:pPr>
                      <w:r>
                        <w:rPr>
                          <w:rFonts w:hint="eastAsia" w:ascii="黑体" w:hAnsi="黑体" w:eastAsia="黑体"/>
                          <w:sz w:val="48"/>
                          <w:szCs w:val="48"/>
                        </w:rPr>
                        <w:t>威海市地方标准</w:t>
                      </w:r>
                    </w:p>
                  </w:txbxContent>
                </v:textbox>
                <w10:wrap type="square"/>
              </v:rect>
            </w:pict>
          </mc:Fallback>
        </mc:AlternateContent>
      </w:r>
    </w:p>
    <w:p>
      <w:pPr>
        <w:widowControl/>
        <w:ind w:firstLine="0" w:firstLineChars="0"/>
        <w:jc w:val="left"/>
        <w:rPr>
          <w:rFonts w:ascii="Times New Roman" w:hAnsi="Times New Roman" w:cs="Times New Roman"/>
          <w:sz w:val="28"/>
          <w:szCs w:val="28"/>
        </w:rPr>
      </w:pPr>
      <w:r>
        <w:rPr>
          <w:rFonts w:ascii="Times New Roman" w:hAnsi="Times New Roman" w:cs="Times New Roman"/>
          <w:sz w:val="28"/>
          <w:szCs w:val="28"/>
        </w:rPr>
        <w:t xml:space="preserve"> </w:t>
      </w:r>
    </w:p>
    <w:p>
      <w:pPr>
        <w:widowControl/>
        <w:ind w:firstLine="0" w:firstLineChars="0"/>
        <w:jc w:val="left"/>
        <w:rPr>
          <w:sz w:val="28"/>
          <w:szCs w:val="28"/>
          <w:u w:val="single"/>
        </w:rPr>
      </w:pPr>
      <w:r>
        <w:rPr>
          <w:sz w:val="28"/>
          <w:szCs w:val="28"/>
          <w:u w:val="single"/>
        </w:rPr>
        <w:t xml:space="preserve">        </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p>
    <w:p>
      <w:pPr>
        <w:widowControl/>
        <w:ind w:firstLine="0" w:firstLineChars="0"/>
        <w:jc w:val="left"/>
        <w:rPr>
          <w:sz w:val="28"/>
          <w:szCs w:val="28"/>
        </w:rPr>
      </w:pPr>
    </w:p>
    <w:p>
      <w:pPr>
        <w:widowControl/>
        <w:ind w:firstLine="0" w:firstLineChars="0"/>
        <w:jc w:val="left"/>
        <w:rPr>
          <w:sz w:val="28"/>
          <w:szCs w:val="28"/>
        </w:rPr>
      </w:pPr>
      <w:r>
        <w:rPr>
          <w:sz w:val="28"/>
          <w:szCs w:val="28"/>
        </w:rPr>
        <mc:AlternateContent>
          <mc:Choice Requires="wps">
            <w:drawing>
              <wp:anchor distT="0" distB="45720" distL="114300" distR="114300" simplePos="0" relativeHeight="251659264" behindDoc="0" locked="0" layoutInCell="1" allowOverlap="1">
                <wp:simplePos x="0" y="0"/>
                <wp:positionH relativeFrom="margin">
                  <wp:posOffset>0</wp:posOffset>
                </wp:positionH>
                <wp:positionV relativeFrom="paragraph">
                  <wp:posOffset>399415</wp:posOffset>
                </wp:positionV>
                <wp:extent cx="5937250" cy="469900"/>
                <wp:effectExtent l="0" t="0" r="6350" b="6350"/>
                <wp:wrapSquare wrapText="bothSides"/>
                <wp:docPr id="1030" name="文本框 2"/>
                <wp:cNvGraphicFramePr/>
                <a:graphic xmlns:a="http://schemas.openxmlformats.org/drawingml/2006/main">
                  <a:graphicData uri="http://schemas.microsoft.com/office/word/2010/wordprocessingShape">
                    <wps:wsp>
                      <wps:cNvSpPr/>
                      <wps:spPr>
                        <a:xfrm>
                          <a:off x="0" y="0"/>
                          <a:ext cx="5937250" cy="469900"/>
                        </a:xfrm>
                        <a:prstGeom prst="rect">
                          <a:avLst/>
                        </a:prstGeom>
                        <a:solidFill>
                          <a:srgbClr val="FFFFFF"/>
                        </a:solidFill>
                        <a:ln>
                          <a:noFill/>
                        </a:ln>
                      </wps:spPr>
                      <wps:txbx>
                        <w:txbxContent>
                          <w:p>
                            <w:pPr>
                              <w:ind w:firstLine="0" w:firstLineChars="0"/>
                              <w:jc w:val="center"/>
                              <w:rPr>
                                <w:rFonts w:ascii="Times New Roman" w:hAnsi="Times New Roman" w:eastAsia="黑体" w:cs="Times New Roman"/>
                                <w:b/>
                                <w:sz w:val="120"/>
                                <w:szCs w:val="120"/>
                              </w:rPr>
                            </w:pPr>
                            <w:r>
                              <w:rPr>
                                <w:rFonts w:hint="eastAsia" w:ascii="黑体" w:hAnsi="黑体" w:eastAsia="黑体"/>
                                <w:sz w:val="48"/>
                                <w:szCs w:val="48"/>
                              </w:rPr>
                              <w:t>红色物业建设规范</w:t>
                            </w:r>
                          </w:p>
                        </w:txbxContent>
                      </wps:txbx>
                      <wps:bodyPr vert="horz" wrap="square" lIns="0" tIns="45720" rIns="91440" bIns="45720" anchor="t">
                        <a:noAutofit/>
                      </wps:bodyPr>
                    </wps:wsp>
                  </a:graphicData>
                </a:graphic>
              </wp:anchor>
            </w:drawing>
          </mc:Choice>
          <mc:Fallback>
            <w:pict>
              <v:rect id="文本框 2" o:spid="_x0000_s1026" o:spt="1" style="position:absolute;left:0pt;margin-left:0pt;margin-top:31.45pt;height:37pt;width:467.5pt;mso-position-horizontal-relative:margin;mso-wrap-distance-bottom:3.6pt;mso-wrap-distance-left:9pt;mso-wrap-distance-right:9pt;mso-wrap-distance-top:0pt;z-index:251659264;mso-width-relative:page;mso-height-relative:page;" fillcolor="#FFFFFF" filled="t" stroked="f" coordsize="21600,21600" o:gfxdata="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2NDE51gAAAAcBAAAPAAAAAAAAAAEA&#10;IAAAACIAAABkcnMvZG93bnJldi54bWxQSwECFAAUAAAACACHTuJAGbNCL9gBAACFAwAADgAAAAAA&#10;AAABACAAAAAlAQAAZHJzL2Uyb0RvYy54bWxQSwUGAAAAAAYABgBZAQAAbwUAAAAA&#10;">
                <v:fill on="t" focussize="0,0"/>
                <v:stroke on="f"/>
                <v:imagedata o:title=""/>
                <o:lock v:ext="edit" aspectratio="f"/>
                <v:textbox inset="0mm,1.27mm,2.54mm,1.27mm">
                  <w:txbxContent>
                    <w:p>
                      <w:pPr>
                        <w:ind w:firstLine="0" w:firstLineChars="0"/>
                        <w:jc w:val="center"/>
                        <w:rPr>
                          <w:rFonts w:ascii="Times New Roman" w:hAnsi="Times New Roman" w:eastAsia="黑体" w:cs="Times New Roman"/>
                          <w:b/>
                          <w:sz w:val="120"/>
                          <w:szCs w:val="120"/>
                        </w:rPr>
                      </w:pPr>
                      <w:r>
                        <w:rPr>
                          <w:rFonts w:hint="eastAsia" w:ascii="黑体" w:hAnsi="黑体" w:eastAsia="黑体"/>
                          <w:sz w:val="48"/>
                          <w:szCs w:val="48"/>
                        </w:rPr>
                        <w:t>红色物业建设规范</w:t>
                      </w:r>
                    </w:p>
                  </w:txbxContent>
                </v:textbox>
                <w10:wrap type="square"/>
              </v:rect>
            </w:pict>
          </mc:Fallback>
        </mc:AlternateContent>
      </w:r>
    </w:p>
    <w:p>
      <w:pPr>
        <w:widowControl/>
        <w:ind w:firstLine="0" w:firstLineChars="0"/>
        <w:jc w:val="left"/>
        <w:rPr>
          <w:sz w:val="28"/>
          <w:szCs w:val="28"/>
        </w:rPr>
      </w:pPr>
    </w:p>
    <w:p>
      <w:pPr>
        <w:ind w:firstLine="0" w:firstLineChars="0"/>
        <w:jc w:val="center"/>
        <w:rPr>
          <w:rFonts w:ascii="黑体" w:hAnsi="黑体" w:eastAsia="黑体"/>
          <w:sz w:val="28"/>
          <w:szCs w:val="28"/>
        </w:rPr>
      </w:pPr>
    </w:p>
    <w:p>
      <w:pPr>
        <w:ind w:firstLine="0" w:firstLineChars="0"/>
        <w:jc w:val="center"/>
        <w:rPr>
          <w:rFonts w:ascii="黑体" w:hAnsi="黑体" w:eastAsia="黑体"/>
          <w:sz w:val="28"/>
          <w:szCs w:val="28"/>
        </w:rPr>
      </w:pPr>
    </w:p>
    <w:p>
      <w:pPr>
        <w:ind w:firstLine="0" w:firstLineChars="0"/>
        <w:jc w:val="center"/>
        <w:rPr>
          <w:rFonts w:ascii="黑体" w:hAnsi="黑体" w:eastAsia="黑体"/>
          <w:sz w:val="28"/>
          <w:szCs w:val="28"/>
        </w:rPr>
      </w:pPr>
    </w:p>
    <w:p>
      <w:pPr>
        <w:ind w:firstLine="0" w:firstLineChars="0"/>
        <w:jc w:val="center"/>
        <w:rPr>
          <w:rFonts w:ascii="黑体" w:hAnsi="黑体" w:eastAsia="黑体"/>
          <w:sz w:val="28"/>
          <w:szCs w:val="28"/>
        </w:rPr>
      </w:pPr>
    </w:p>
    <w:p>
      <w:pPr>
        <w:ind w:firstLine="0" w:firstLineChars="0"/>
        <w:jc w:val="center"/>
        <w:rPr>
          <w:rFonts w:ascii="黑体" w:hAnsi="黑体" w:eastAsia="黑体"/>
          <w:sz w:val="28"/>
          <w:szCs w:val="28"/>
        </w:rPr>
      </w:pPr>
    </w:p>
    <w:p>
      <w:pPr>
        <w:ind w:firstLine="0" w:firstLineChars="0"/>
        <w:jc w:val="center"/>
        <w:rPr>
          <w:rFonts w:ascii="黑体" w:hAnsi="黑体" w:eastAsia="黑体"/>
          <w:sz w:val="28"/>
          <w:szCs w:val="28"/>
        </w:rPr>
      </w:pPr>
    </w:p>
    <w:p>
      <w:pPr>
        <w:ind w:firstLine="0" w:firstLineChars="0"/>
        <w:jc w:val="center"/>
        <w:rPr>
          <w:rFonts w:ascii="黑体" w:hAnsi="黑体" w:eastAsia="黑体"/>
          <w:sz w:val="28"/>
          <w:szCs w:val="28"/>
        </w:rPr>
      </w:pPr>
    </w:p>
    <w:p>
      <w:pPr>
        <w:ind w:firstLine="0" w:firstLineChars="0"/>
        <w:jc w:val="center"/>
        <w:rPr>
          <w:rFonts w:ascii="黑体" w:hAnsi="黑体" w:eastAsia="黑体"/>
          <w:sz w:val="28"/>
          <w:szCs w:val="28"/>
        </w:rPr>
      </w:pPr>
    </w:p>
    <w:p>
      <w:pPr>
        <w:widowControl/>
        <w:ind w:firstLine="0" w:firstLineChars="0"/>
        <w:jc w:val="left"/>
        <w:rPr>
          <w:sz w:val="28"/>
          <w:szCs w:val="28"/>
        </w:rPr>
      </w:pPr>
    </w:p>
    <w:p>
      <w:pPr>
        <w:widowControl/>
        <w:ind w:firstLine="0" w:firstLineChars="0"/>
        <w:jc w:val="left"/>
        <w:rPr>
          <w:sz w:val="32"/>
          <w:szCs w:val="32"/>
          <w:u w:val="single"/>
        </w:rPr>
      </w:pPr>
      <w:r>
        <w:rPr>
          <w:rFonts w:hint="eastAsia"/>
          <w:sz w:val="32"/>
          <w:szCs w:val="32"/>
          <w:u w:val="single"/>
        </w:rPr>
        <w:t>2</w:t>
      </w:r>
      <w:r>
        <w:rPr>
          <w:sz w:val="32"/>
          <w:szCs w:val="32"/>
          <w:u w:val="single"/>
        </w:rPr>
        <w:t xml:space="preserve">021 – </w:t>
      </w:r>
      <w:r>
        <w:rPr>
          <w:rFonts w:hint="eastAsia"/>
          <w:sz w:val="32"/>
          <w:szCs w:val="32"/>
          <w:u w:val="single"/>
        </w:rPr>
        <w:t>XX</w:t>
      </w:r>
      <w:r>
        <w:rPr>
          <w:sz w:val="32"/>
          <w:szCs w:val="32"/>
          <w:u w:val="single"/>
        </w:rPr>
        <w:t xml:space="preserve"> – </w:t>
      </w:r>
      <w:r>
        <w:rPr>
          <w:rFonts w:hint="eastAsia"/>
          <w:sz w:val="32"/>
          <w:szCs w:val="32"/>
          <w:u w:val="single"/>
        </w:rPr>
        <w:t xml:space="preserve">XX发布 </w:t>
      </w:r>
      <w:r>
        <w:rPr>
          <w:sz w:val="32"/>
          <w:szCs w:val="32"/>
          <w:u w:val="single"/>
        </w:rPr>
        <w:t xml:space="preserve">                       </w:t>
      </w:r>
      <w:r>
        <w:rPr>
          <w:rFonts w:hint="eastAsia"/>
          <w:sz w:val="32"/>
          <w:szCs w:val="32"/>
          <w:u w:val="single"/>
        </w:rPr>
        <w:t xml:space="preserve"> 2</w:t>
      </w:r>
      <w:r>
        <w:rPr>
          <w:sz w:val="32"/>
          <w:szCs w:val="32"/>
          <w:u w:val="single"/>
        </w:rPr>
        <w:t xml:space="preserve">021 – </w:t>
      </w:r>
      <w:r>
        <w:rPr>
          <w:rFonts w:hint="eastAsia"/>
          <w:sz w:val="32"/>
          <w:szCs w:val="32"/>
          <w:u w:val="single"/>
        </w:rPr>
        <w:t>XX</w:t>
      </w:r>
      <w:r>
        <w:rPr>
          <w:sz w:val="32"/>
          <w:szCs w:val="32"/>
          <w:u w:val="single"/>
        </w:rPr>
        <w:t xml:space="preserve"> – </w:t>
      </w:r>
      <w:r>
        <w:rPr>
          <w:rFonts w:hint="eastAsia"/>
          <w:sz w:val="32"/>
          <w:szCs w:val="32"/>
          <w:u w:val="single"/>
        </w:rPr>
        <w:t>XX实施</w:t>
      </w:r>
    </w:p>
    <w:p>
      <w:pPr>
        <w:widowControl/>
        <w:ind w:firstLine="0" w:firstLineChars="0"/>
        <w:jc w:val="left"/>
        <w:rPr>
          <w:sz w:val="28"/>
          <w:szCs w:val="28"/>
        </w:rPr>
      </w:pPr>
    </w:p>
    <w:p>
      <w:pPr>
        <w:widowControl/>
        <w:ind w:firstLine="0" w:firstLineChars="0"/>
        <w:jc w:val="center"/>
        <w:rPr>
          <w:rFonts w:ascii="黑体" w:eastAsia="黑体"/>
          <w:kern w:val="0"/>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567" w:right="1134" w:bottom="1134" w:left="1418" w:header="0" w:footer="0" w:gutter="0"/>
          <w:pgNumType w:start="0"/>
          <w:cols w:space="0" w:num="1"/>
          <w:docGrid w:type="lines" w:linePitch="312" w:charSpace="0"/>
        </w:sectPr>
      </w:pPr>
      <w:r>
        <w:rPr>
          <w:rFonts w:hint="eastAsia" w:ascii="黑体" w:eastAsia="黑体"/>
          <w:kern w:val="0"/>
          <w:sz w:val="32"/>
          <w:szCs w:val="32"/>
        </w:rPr>
        <w:t xml:space="preserve">威海市市场监督管理局 </w:t>
      </w:r>
      <w:r>
        <w:rPr>
          <w:rFonts w:ascii="黑体" w:eastAsia="黑体"/>
          <w:kern w:val="0"/>
          <w:sz w:val="32"/>
          <w:szCs w:val="32"/>
        </w:rPr>
        <w:t xml:space="preserve"> </w:t>
      </w:r>
      <w:r>
        <w:rPr>
          <w:rFonts w:hint="eastAsia" w:ascii="黑体" w:eastAsia="黑体"/>
          <w:kern w:val="0"/>
          <w:sz w:val="32"/>
          <w:szCs w:val="32"/>
        </w:rPr>
        <w:t>发 布</w:t>
      </w:r>
    </w:p>
    <w:p>
      <w:pPr>
        <w:pStyle w:val="14"/>
        <w:numPr>
          <w:ilvl w:val="0"/>
          <w:numId w:val="0"/>
        </w:numPr>
        <w:spacing w:before="312" w:after="312"/>
        <w:jc w:val="center"/>
        <w:outlineLvl w:val="0"/>
        <w:rPr>
          <w:sz w:val="32"/>
          <w:szCs w:val="32"/>
        </w:rPr>
      </w:pPr>
      <w:r>
        <w:rPr>
          <w:rFonts w:hint="eastAsia"/>
          <w:sz w:val="32"/>
          <w:szCs w:val="32"/>
        </w:rPr>
        <w:t>前</w:t>
      </w:r>
      <w:bookmarkStart w:id="0" w:name="BKQY"/>
      <w:r>
        <w:rPr>
          <w:rFonts w:hint="eastAsia"/>
          <w:sz w:val="32"/>
          <w:szCs w:val="32"/>
        </w:rPr>
        <w:t>  言</w:t>
      </w:r>
      <w:bookmarkEnd w:id="0"/>
    </w:p>
    <w:p>
      <w:pPr>
        <w:pStyle w:val="15"/>
        <w:rPr>
          <w:rFonts w:ascii="Times New Roman"/>
          <w:color w:val="000000"/>
          <w:szCs w:val="21"/>
        </w:rPr>
      </w:pPr>
      <w:r>
        <w:rPr>
          <w:rFonts w:hint="eastAsia" w:ascii="Times New Roman"/>
          <w:color w:val="000000"/>
          <w:szCs w:val="21"/>
        </w:rPr>
        <w:t>本文件按GB/T 1.1给出的规则编写。</w:t>
      </w:r>
    </w:p>
    <w:p>
      <w:pPr>
        <w:pStyle w:val="15"/>
        <w:rPr>
          <w:rFonts w:ascii="Times New Roman"/>
          <w:color w:val="000000"/>
          <w:szCs w:val="21"/>
        </w:rPr>
      </w:pPr>
      <w:r>
        <w:rPr>
          <w:rFonts w:hint="eastAsia" w:ascii="Times New Roman"/>
          <w:color w:val="000000"/>
          <w:szCs w:val="21"/>
        </w:rPr>
        <w:t>本文件由威海市住房和城乡建设局提出、归口并组织实施。</w:t>
      </w:r>
    </w:p>
    <w:p>
      <w:pPr>
        <w:pStyle w:val="15"/>
        <w:rPr>
          <w:rFonts w:ascii="Times New Roman"/>
          <w:color w:val="000000"/>
          <w:szCs w:val="21"/>
        </w:rPr>
      </w:pPr>
      <w:r>
        <w:rPr>
          <w:rFonts w:hint="eastAsia" w:ascii="Times New Roman"/>
          <w:color w:val="000000"/>
          <w:szCs w:val="21"/>
        </w:rPr>
        <w:t>本文件主</w:t>
      </w:r>
      <w:r>
        <w:rPr>
          <w:rFonts w:hint="eastAsia" w:ascii="Times New Roman"/>
          <w:color w:val="000000"/>
          <w:szCs w:val="21"/>
          <w:lang w:eastAsia="zh-CN"/>
        </w:rPr>
        <w:t>要</w:t>
      </w:r>
      <w:r>
        <w:rPr>
          <w:rFonts w:hint="eastAsia" w:ascii="Times New Roman"/>
          <w:color w:val="000000"/>
          <w:szCs w:val="21"/>
        </w:rPr>
        <w:t>起草单位：威海市住房保障公共服务中心、山东大学。</w:t>
      </w:r>
    </w:p>
    <w:p>
      <w:pPr>
        <w:pStyle w:val="15"/>
        <w:rPr>
          <w:rFonts w:ascii="Times New Roman"/>
          <w:color w:val="000000"/>
          <w:szCs w:val="21"/>
        </w:rPr>
      </w:pPr>
      <w:r>
        <w:rPr>
          <w:rFonts w:hint="eastAsia" w:ascii="Times New Roman"/>
          <w:color w:val="000000"/>
          <w:szCs w:val="21"/>
        </w:rPr>
        <w:t>本文件参与起草单位：山东青年干部管理学院、中共威海市委组织部、威海市物业管理协会。</w:t>
      </w:r>
    </w:p>
    <w:p>
      <w:pPr>
        <w:pStyle w:val="15"/>
        <w:rPr>
          <w:rFonts w:ascii="Times New Roman"/>
          <w:color w:val="000000"/>
          <w:szCs w:val="21"/>
        </w:rPr>
      </w:pPr>
      <w:r>
        <w:rPr>
          <w:rFonts w:hint="eastAsia" w:ascii="Times New Roman"/>
          <w:color w:val="000000"/>
          <w:szCs w:val="21"/>
        </w:rPr>
        <w:t>本文件</w:t>
      </w:r>
      <w:r>
        <w:rPr>
          <w:rFonts w:hint="eastAsia" w:ascii="Times New Roman"/>
          <w:color w:val="000000"/>
          <w:szCs w:val="21"/>
          <w:lang w:eastAsia="zh-CN"/>
        </w:rPr>
        <w:t>主要</w:t>
      </w:r>
      <w:r>
        <w:rPr>
          <w:rFonts w:hint="eastAsia" w:ascii="Times New Roman"/>
          <w:color w:val="000000"/>
          <w:szCs w:val="21"/>
        </w:rPr>
        <w:t>起草人：李少星、赵伟、楼苏萍、李瑞玲、盛潇涵、张银妮、刘磊、刘笃章、王春武、王安、隋伟。</w:t>
      </w:r>
    </w:p>
    <w:p>
      <w:pPr>
        <w:pStyle w:val="15"/>
        <w:rPr>
          <w:rFonts w:ascii="Times New Roman"/>
          <w:color w:val="000000"/>
          <w:szCs w:val="21"/>
        </w:rPr>
      </w:pPr>
    </w:p>
    <w:p>
      <w:pPr>
        <w:ind w:firstLine="560"/>
        <w:rPr>
          <w:sz w:val="28"/>
          <w:szCs w:val="28"/>
        </w:rPr>
      </w:pPr>
    </w:p>
    <w:p>
      <w:pPr>
        <w:pStyle w:val="15"/>
        <w:ind w:firstLine="560"/>
        <w:rPr>
          <w:sz w:val="28"/>
          <w:szCs w:val="28"/>
        </w:rPr>
      </w:pPr>
    </w:p>
    <w:p>
      <w:pPr>
        <w:pStyle w:val="15"/>
        <w:ind w:firstLine="560"/>
        <w:rPr>
          <w:sz w:val="28"/>
          <w:szCs w:val="28"/>
        </w:rPr>
      </w:pPr>
    </w:p>
    <w:p>
      <w:pPr>
        <w:pStyle w:val="15"/>
        <w:ind w:firstLine="560"/>
        <w:rPr>
          <w:sz w:val="28"/>
          <w:szCs w:val="28"/>
        </w:rPr>
      </w:pPr>
    </w:p>
    <w:p>
      <w:pPr>
        <w:widowControl/>
        <w:ind w:firstLine="0" w:firstLineChars="0"/>
        <w:jc w:val="left"/>
        <w:rPr>
          <w:rFonts w:ascii="黑体" w:eastAsia="黑体"/>
          <w:kern w:val="0"/>
          <w:sz w:val="28"/>
          <w:szCs w:val="28"/>
        </w:rPr>
      </w:pPr>
      <w:r>
        <w:rPr>
          <w:sz w:val="28"/>
          <w:szCs w:val="28"/>
        </w:rPr>
        <w:br w:type="page"/>
      </w:r>
    </w:p>
    <w:p>
      <w:pPr>
        <w:pStyle w:val="14"/>
        <w:numPr>
          <w:ilvl w:val="0"/>
          <w:numId w:val="0"/>
        </w:numPr>
        <w:spacing w:before="312" w:after="312"/>
        <w:jc w:val="center"/>
        <w:outlineLvl w:val="0"/>
        <w:rPr>
          <w:sz w:val="32"/>
          <w:szCs w:val="32"/>
        </w:rPr>
      </w:pPr>
      <w:r>
        <w:rPr>
          <w:rFonts w:hint="eastAsia"/>
          <w:sz w:val="32"/>
          <w:szCs w:val="32"/>
        </w:rPr>
        <w:t>红色物业建设规范</w:t>
      </w:r>
    </w:p>
    <w:p>
      <w:pPr>
        <w:pStyle w:val="14"/>
        <w:spacing w:before="312" w:after="312"/>
        <w:rPr>
          <w:szCs w:val="21"/>
        </w:rPr>
      </w:pPr>
      <w:r>
        <w:rPr>
          <w:rFonts w:hint="eastAsia"/>
          <w:szCs w:val="21"/>
        </w:rPr>
        <w:t>范围</w:t>
      </w:r>
    </w:p>
    <w:p>
      <w:pPr>
        <w:pStyle w:val="16"/>
        <w:numPr>
          <w:ilvl w:val="1"/>
          <w:numId w:val="0"/>
        </w:numPr>
        <w:spacing w:before="156" w:after="156"/>
        <w:ind w:firstLine="420" w:firstLineChars="200"/>
        <w:rPr>
          <w:rFonts w:ascii="宋体" w:hAnsi="宋体" w:eastAsia="宋体" w:cs="宋体"/>
        </w:rPr>
      </w:pPr>
      <w:bookmarkStart w:id="1" w:name="_Toc26364"/>
      <w:r>
        <w:rPr>
          <w:rFonts w:hint="eastAsia" w:ascii="宋体" w:hAnsi="宋体" w:eastAsia="宋体" w:cs="宋体"/>
        </w:rPr>
        <w:t>本文件规定了红色物业建设的术语和定义、党建引领、融合共治、行业共塑、精致共建、美好共享。</w:t>
      </w:r>
    </w:p>
    <w:p>
      <w:pPr>
        <w:pStyle w:val="16"/>
        <w:numPr>
          <w:ilvl w:val="1"/>
          <w:numId w:val="0"/>
        </w:numPr>
        <w:spacing w:before="156" w:after="156"/>
        <w:ind w:firstLine="420" w:firstLineChars="200"/>
        <w:rPr>
          <w:rFonts w:ascii="宋体" w:hAnsi="宋体" w:eastAsia="宋体" w:cs="宋体"/>
        </w:rPr>
      </w:pPr>
      <w:r>
        <w:rPr>
          <w:rFonts w:hint="eastAsia" w:ascii="宋体" w:hAnsi="宋体" w:eastAsia="宋体" w:cs="宋体"/>
        </w:rPr>
        <w:t>本文件适用于威海市域城市建成区范围内住宅小区的红色物业规范化建设工作，可以作为市、区市（开发区）、街镇、社区等各级管理区域以及住宅小区和物业服务企业红色物业建设水平的评价依据。</w:t>
      </w:r>
      <w:bookmarkEnd w:id="1"/>
    </w:p>
    <w:p>
      <w:pPr>
        <w:pStyle w:val="14"/>
        <w:spacing w:before="312" w:after="312"/>
        <w:rPr>
          <w:szCs w:val="21"/>
        </w:rPr>
      </w:pPr>
      <w:bookmarkStart w:id="2" w:name="_Toc9699"/>
      <w:bookmarkStart w:id="3" w:name="_Toc72462334"/>
      <w:r>
        <w:rPr>
          <w:rFonts w:hint="eastAsia"/>
          <w:szCs w:val="21"/>
        </w:rPr>
        <w:t>规范性引用文件</w:t>
      </w:r>
    </w:p>
    <w:p>
      <w:pPr>
        <w:pStyle w:val="15"/>
        <w:rPr>
          <w:rFonts w:ascii="Times New Roman"/>
          <w:color w:val="000000"/>
          <w:szCs w:val="21"/>
        </w:rPr>
      </w:pPr>
      <w:r>
        <w:rPr>
          <w:rFonts w:hint="eastAsia" w:ascii="Times New Roman"/>
          <w:color w:val="000000"/>
          <w:szCs w:val="21"/>
        </w:rPr>
        <w:t xml:space="preserve">GB/T 20647.1-2006《社区服务指南 第1部分:总则》  </w:t>
      </w:r>
    </w:p>
    <w:p>
      <w:pPr>
        <w:pStyle w:val="15"/>
        <w:rPr>
          <w:rFonts w:ascii="Times New Roman"/>
          <w:color w:val="000000"/>
          <w:szCs w:val="21"/>
        </w:rPr>
      </w:pPr>
      <w:r>
        <w:rPr>
          <w:rFonts w:hint="eastAsia" w:ascii="Times New Roman"/>
          <w:color w:val="000000"/>
          <w:szCs w:val="21"/>
        </w:rPr>
        <w:t>GB/T20647.90-2006《社区服务指南第9部分：物业服务》</w:t>
      </w:r>
    </w:p>
    <w:p>
      <w:pPr>
        <w:pStyle w:val="15"/>
        <w:rPr>
          <w:rFonts w:ascii="Times New Roman"/>
          <w:color w:val="000000"/>
          <w:szCs w:val="21"/>
        </w:rPr>
      </w:pPr>
      <w:r>
        <w:rPr>
          <w:rFonts w:hint="eastAsia" w:ascii="Times New Roman"/>
          <w:color w:val="000000"/>
          <w:szCs w:val="21"/>
        </w:rPr>
        <w:t>DB3710/T119-2020《威海市精致城市评价指标体系》</w:t>
      </w:r>
    </w:p>
    <w:p>
      <w:pPr>
        <w:pStyle w:val="15"/>
        <w:rPr>
          <w:rFonts w:ascii="Times New Roman"/>
          <w:color w:val="000000"/>
          <w:szCs w:val="21"/>
        </w:rPr>
      </w:pPr>
      <w:r>
        <w:rPr>
          <w:rFonts w:hint="eastAsia" w:ascii="Times New Roman"/>
          <w:color w:val="000000"/>
          <w:szCs w:val="21"/>
        </w:rPr>
        <w:t>GB/T 34300-2017《城乡社区网格化服务管理规范》</w:t>
      </w:r>
    </w:p>
    <w:p>
      <w:pPr>
        <w:pStyle w:val="15"/>
        <w:rPr>
          <w:rFonts w:ascii="Times New Roman"/>
          <w:color w:val="000000"/>
          <w:szCs w:val="21"/>
        </w:rPr>
      </w:pPr>
      <w:r>
        <w:rPr>
          <w:rFonts w:hint="eastAsia" w:ascii="Times New Roman"/>
          <w:color w:val="000000"/>
          <w:szCs w:val="21"/>
        </w:rPr>
        <w:t>GB/T 21741-2008《住宅小区安全防范系统通用技术</w:t>
      </w:r>
      <w:r>
        <w:rPr>
          <w:rFonts w:hint="eastAsia" w:ascii="Times New Roman"/>
          <w:color w:val="000000"/>
          <w:szCs w:val="21"/>
          <w:lang w:eastAsia="zh-CN"/>
        </w:rPr>
        <w:t>要求</w:t>
      </w:r>
      <w:r>
        <w:rPr>
          <w:rFonts w:hint="eastAsia" w:ascii="Times New Roman"/>
          <w:color w:val="000000"/>
          <w:szCs w:val="21"/>
        </w:rPr>
        <w:t>》</w:t>
      </w:r>
    </w:p>
    <w:p>
      <w:pPr>
        <w:pStyle w:val="15"/>
        <w:rPr>
          <w:rFonts w:ascii="Times New Roman"/>
          <w:color w:val="000000"/>
          <w:szCs w:val="21"/>
        </w:rPr>
      </w:pPr>
      <w:r>
        <w:rPr>
          <w:rFonts w:hint="eastAsia" w:ascii="Times New Roman"/>
          <w:color w:val="000000"/>
          <w:szCs w:val="21"/>
        </w:rPr>
        <w:t>《威海市物业管理办法》（威海市人民政府令第69号）</w:t>
      </w:r>
    </w:p>
    <w:p>
      <w:pPr>
        <w:pStyle w:val="14"/>
        <w:spacing w:before="312" w:after="312"/>
        <w:rPr>
          <w:szCs w:val="21"/>
        </w:rPr>
      </w:pPr>
      <w:r>
        <w:rPr>
          <w:szCs w:val="21"/>
        </w:rPr>
        <w:t>术语和定义</w:t>
      </w:r>
      <w:bookmarkEnd w:id="2"/>
      <w:bookmarkEnd w:id="3"/>
    </w:p>
    <w:p>
      <w:pPr>
        <w:pStyle w:val="15"/>
      </w:pPr>
      <w:r>
        <w:rPr>
          <w:rFonts w:hint="eastAsia"/>
          <w:color w:val="000000"/>
          <w:szCs w:val="21"/>
        </w:rPr>
        <w:t>GB/T 20647.1、GB/T 20647.9、 GB/T 21741、GB/T 34300、DB3710/T 119</w:t>
      </w:r>
      <w:r>
        <w:rPr>
          <w:rFonts w:hint="eastAsia"/>
        </w:rPr>
        <w:t>界定的以及下列数术语和定义适用于本文件。</w:t>
      </w:r>
    </w:p>
    <w:p>
      <w:pPr>
        <w:pStyle w:val="16"/>
        <w:numPr>
          <w:ilvl w:val="1"/>
          <w:numId w:val="0"/>
        </w:numPr>
        <w:spacing w:before="156" w:after="156"/>
        <w:rPr>
          <w:color w:val="000000"/>
        </w:rPr>
      </w:pPr>
      <w:bookmarkStart w:id="4" w:name="_Toc72462336"/>
      <w:bookmarkStart w:id="5" w:name="_Toc27953"/>
      <w:r>
        <w:rPr>
          <w:rFonts w:hint="eastAsia"/>
          <w:color w:val="000000"/>
          <w:lang w:val="en-US" w:eastAsia="zh-CN"/>
        </w:rPr>
        <w:t xml:space="preserve">3.1  </w:t>
      </w:r>
      <w:r>
        <w:rPr>
          <w:rFonts w:hint="eastAsia"/>
          <w:color w:val="000000"/>
        </w:rPr>
        <w:t>红色物业</w:t>
      </w:r>
      <w:bookmarkEnd w:id="4"/>
      <w:bookmarkEnd w:id="5"/>
    </w:p>
    <w:p>
      <w:pPr>
        <w:ind w:firstLine="420"/>
        <w:rPr>
          <w:color w:val="000000"/>
          <w:szCs w:val="21"/>
        </w:rPr>
      </w:pPr>
      <w:r>
        <w:rPr>
          <w:rFonts w:hint="eastAsia"/>
          <w:color w:val="000000"/>
          <w:szCs w:val="21"/>
        </w:rPr>
        <w:t>围绕城市住宅小区物业服务中的突出问题与居民需求，坚持以人民为中心的发展理念和深入群众、为民办实事的工作作风，通过强化以行业党建为基础的党建引领工作体系与组织体系、完善多元主体协同参与小区物业管理和社区治理的融合共治机制，推动物业服务行业的专业化能力提升，最终使业主幸福感和满意度持续增强的物业管理工作逻辑或物业服务类型。</w:t>
      </w:r>
    </w:p>
    <w:p>
      <w:pPr>
        <w:pStyle w:val="16"/>
        <w:numPr>
          <w:ilvl w:val="1"/>
          <w:numId w:val="0"/>
        </w:numPr>
        <w:spacing w:before="156" w:after="156"/>
        <w:rPr>
          <w:color w:val="000000"/>
        </w:rPr>
      </w:pPr>
      <w:bookmarkStart w:id="6" w:name="_Toc72462339"/>
      <w:bookmarkStart w:id="7" w:name="_Toc21934"/>
      <w:r>
        <w:rPr>
          <w:rFonts w:hint="eastAsia"/>
          <w:color w:val="000000"/>
          <w:lang w:val="en-US" w:eastAsia="zh-CN"/>
        </w:rPr>
        <w:t xml:space="preserve">3.2  </w:t>
      </w:r>
      <w:r>
        <w:rPr>
          <w:rFonts w:hint="eastAsia"/>
          <w:color w:val="000000"/>
        </w:rPr>
        <w:t xml:space="preserve">物业服务企业  </w:t>
      </w:r>
    </w:p>
    <w:p>
      <w:pPr>
        <w:ind w:firstLine="420"/>
        <w:rPr>
          <w:color w:val="000000"/>
          <w:szCs w:val="21"/>
        </w:rPr>
      </w:pPr>
      <w:r>
        <w:rPr>
          <w:rFonts w:hint="eastAsia"/>
          <w:color w:val="000000"/>
          <w:szCs w:val="21"/>
        </w:rPr>
        <w:t>依法取得法人资格，从事物业服务的企业。</w:t>
      </w:r>
    </w:p>
    <w:p>
      <w:pPr>
        <w:pStyle w:val="16"/>
        <w:numPr>
          <w:ilvl w:val="1"/>
          <w:numId w:val="0"/>
        </w:numPr>
        <w:spacing w:before="156" w:after="156"/>
        <w:rPr>
          <w:color w:val="000000"/>
        </w:rPr>
      </w:pPr>
      <w:bookmarkStart w:id="8" w:name="_Toc72462340"/>
      <w:bookmarkStart w:id="9" w:name="_Toc11217"/>
      <w:r>
        <w:rPr>
          <w:rFonts w:hint="eastAsia"/>
          <w:color w:val="000000"/>
          <w:lang w:val="en-US" w:eastAsia="zh-CN"/>
        </w:rPr>
        <w:t xml:space="preserve">3.3  </w:t>
      </w:r>
      <w:r>
        <w:rPr>
          <w:rFonts w:hint="eastAsia"/>
          <w:color w:val="000000"/>
        </w:rPr>
        <w:t>业主委员会</w:t>
      </w:r>
      <w:bookmarkEnd w:id="8"/>
      <w:bookmarkEnd w:id="9"/>
    </w:p>
    <w:p>
      <w:pPr>
        <w:ind w:firstLine="420"/>
        <w:rPr>
          <w:color w:val="000000"/>
          <w:szCs w:val="21"/>
        </w:rPr>
      </w:pPr>
      <w:r>
        <w:rPr>
          <w:rFonts w:hint="eastAsia"/>
          <w:color w:val="000000"/>
          <w:szCs w:val="21"/>
        </w:rPr>
        <w:t>在物业管理区域内由业主选举出的业主代表组成，通过执行业主大会的决定维护业主利益、向社会各方反映业主合法意愿和</w:t>
      </w:r>
      <w:r>
        <w:rPr>
          <w:rFonts w:hint="eastAsia"/>
          <w:color w:val="000000"/>
          <w:szCs w:val="21"/>
          <w:lang w:eastAsia="zh-CN"/>
        </w:rPr>
        <w:t>要求</w:t>
      </w:r>
      <w:r>
        <w:rPr>
          <w:rFonts w:hint="eastAsia"/>
          <w:color w:val="000000"/>
          <w:szCs w:val="21"/>
        </w:rPr>
        <w:t>，并监督和协助物业服务企业或其他管理人履行物业服务合同的业主大会执行机构。</w:t>
      </w:r>
    </w:p>
    <w:p>
      <w:pPr>
        <w:pStyle w:val="16"/>
        <w:numPr>
          <w:ilvl w:val="1"/>
          <w:numId w:val="0"/>
        </w:numPr>
        <w:spacing w:before="156" w:after="156"/>
        <w:rPr>
          <w:color w:val="000000"/>
        </w:rPr>
      </w:pPr>
      <w:bookmarkStart w:id="10" w:name="_Toc29253"/>
      <w:bookmarkStart w:id="11" w:name="_Toc72462341"/>
      <w:r>
        <w:rPr>
          <w:rFonts w:hint="eastAsia"/>
          <w:color w:val="000000"/>
          <w:lang w:val="en-US" w:eastAsia="zh-CN"/>
        </w:rPr>
        <w:t xml:space="preserve">3.4  </w:t>
      </w:r>
      <w:r>
        <w:rPr>
          <w:rFonts w:hint="eastAsia"/>
          <w:color w:val="000000"/>
        </w:rPr>
        <w:t>物业管理委员会</w:t>
      </w:r>
      <w:bookmarkEnd w:id="10"/>
      <w:bookmarkEnd w:id="11"/>
    </w:p>
    <w:p>
      <w:pPr>
        <w:ind w:firstLine="420"/>
        <w:rPr>
          <w:color w:val="000000"/>
          <w:szCs w:val="21"/>
        </w:rPr>
      </w:pPr>
      <w:r>
        <w:rPr>
          <w:rFonts w:hint="eastAsia"/>
          <w:color w:val="000000"/>
          <w:szCs w:val="21"/>
        </w:rPr>
        <w:t>在一定物业管理区域内，符合成立条件，由街道办事处、镇人民政府组织成立，代行业主委员会职责的过渡性组织。</w:t>
      </w:r>
    </w:p>
    <w:p>
      <w:pPr>
        <w:pStyle w:val="16"/>
        <w:numPr>
          <w:ilvl w:val="1"/>
          <w:numId w:val="0"/>
        </w:numPr>
        <w:spacing w:before="156" w:after="156"/>
        <w:rPr>
          <w:color w:val="000000"/>
        </w:rPr>
      </w:pPr>
      <w:bookmarkStart w:id="12" w:name="_Toc6324"/>
      <w:bookmarkStart w:id="13" w:name="_Toc72462343"/>
      <w:r>
        <w:rPr>
          <w:rFonts w:hint="eastAsia"/>
          <w:color w:val="000000"/>
          <w:lang w:val="en-US" w:eastAsia="zh-CN"/>
        </w:rPr>
        <w:t xml:space="preserve">3.5  </w:t>
      </w:r>
      <w:r>
        <w:rPr>
          <w:rFonts w:hint="eastAsia"/>
          <w:color w:val="000000"/>
        </w:rPr>
        <w:t>智慧小区</w:t>
      </w:r>
      <w:bookmarkEnd w:id="12"/>
      <w:bookmarkEnd w:id="13"/>
    </w:p>
    <w:p>
      <w:pPr>
        <w:ind w:firstLine="420"/>
        <w:rPr>
          <w:color w:val="000000"/>
          <w:szCs w:val="21"/>
        </w:rPr>
      </w:pPr>
      <w:r>
        <w:rPr>
          <w:rFonts w:hint="eastAsia"/>
          <w:color w:val="000000"/>
          <w:szCs w:val="21"/>
        </w:rPr>
        <w:t>以物联网、云平台、大数据、移动通信等信息技术为基础，通过居民、物业服务企业及公共管理者的共同参与和维护，实现小区范围内多源数据信息的感知、采集、汇集、整合和集成处理功能，为小区住户提供智慧化宜居环境的新型小区类型。</w:t>
      </w:r>
    </w:p>
    <w:bookmarkEnd w:id="6"/>
    <w:bookmarkEnd w:id="7"/>
    <w:p>
      <w:pPr>
        <w:pStyle w:val="14"/>
        <w:spacing w:before="312" w:after="312"/>
        <w:rPr>
          <w:color w:val="000000"/>
          <w:szCs w:val="21"/>
        </w:rPr>
      </w:pPr>
      <w:r>
        <w:rPr>
          <w:rFonts w:hint="eastAsia"/>
          <w:color w:val="000000"/>
          <w:szCs w:val="21"/>
        </w:rPr>
        <w:t>党建引领</w:t>
      </w:r>
    </w:p>
    <w:p>
      <w:pPr>
        <w:pStyle w:val="16"/>
        <w:numPr>
          <w:ilvl w:val="1"/>
          <w:numId w:val="0"/>
        </w:numPr>
        <w:spacing w:before="156" w:after="156"/>
      </w:pPr>
      <w:bookmarkStart w:id="14" w:name="_Toc23801"/>
      <w:r>
        <w:rPr>
          <w:rFonts w:hint="eastAsia"/>
          <w:lang w:val="en-US" w:eastAsia="zh-CN"/>
        </w:rPr>
        <w:t xml:space="preserve">4.1  </w:t>
      </w:r>
      <w:r>
        <w:rPr>
          <w:rFonts w:hint="eastAsia"/>
        </w:rPr>
        <w:t>政治</w:t>
      </w:r>
      <w:bookmarkEnd w:id="14"/>
      <w:r>
        <w:rPr>
          <w:rFonts w:hint="eastAsia"/>
        </w:rPr>
        <w:t>建设</w:t>
      </w:r>
    </w:p>
    <w:p>
      <w:pPr>
        <w:pStyle w:val="18"/>
        <w:spacing w:before="156" w:after="156"/>
        <w:ind w:left="567" w:hanging="567" w:hangingChars="270"/>
        <w:rPr>
          <w:rFonts w:hAnsi="宋体" w:cs="Times New Roman"/>
        </w:rPr>
      </w:pPr>
      <w:bookmarkStart w:id="15" w:name="_Toc29507"/>
      <w:bookmarkStart w:id="16" w:name="_Toc27318"/>
      <w:r>
        <w:rPr>
          <w:rFonts w:hint="eastAsia" w:hAnsi="黑体" w:cs="黑体"/>
        </w:rPr>
        <w:t xml:space="preserve">4.1.1  </w:t>
      </w:r>
      <w:r>
        <w:rPr>
          <w:rFonts w:hint="eastAsia" w:hAnsi="宋体" w:cs="Times New Roman"/>
        </w:rPr>
        <w:t>顶层统筹</w:t>
      </w:r>
      <w:bookmarkEnd w:id="15"/>
    </w:p>
    <w:p>
      <w:pPr>
        <w:pStyle w:val="19"/>
        <w:spacing w:before="156" w:after="156"/>
        <w:rPr>
          <w:rFonts w:hAnsi="Times New Roman" w:cs="Times New Roman"/>
        </w:rPr>
      </w:pPr>
      <w:r>
        <w:rPr>
          <w:rFonts w:hint="eastAsia" w:ascii="黑体" w:hAnsi="黑体" w:eastAsia="黑体" w:cs="黑体"/>
        </w:rPr>
        <w:t xml:space="preserve">4.1.1.1  </w:t>
      </w:r>
      <w:r>
        <w:rPr>
          <w:rFonts w:hint="eastAsia" w:hAnsi="Times New Roman" w:cs="Times New Roman"/>
        </w:rPr>
        <w:t>红色物业的规范化建设，</w:t>
      </w:r>
      <w:bookmarkStart w:id="116" w:name="_GoBack"/>
      <w:r>
        <w:rPr>
          <w:rFonts w:hint="eastAsia" w:hAnsi="Times New Roman" w:cs="Times New Roman"/>
        </w:rPr>
        <w:t>应</w:t>
      </w:r>
      <w:bookmarkEnd w:id="116"/>
      <w:r>
        <w:rPr>
          <w:rFonts w:hint="eastAsia" w:hAnsi="Times New Roman" w:cs="Times New Roman"/>
        </w:rPr>
        <w:t>始终坚持和加强党的领导，贯彻以人民为中心的发展理念，遵循实事求是、因地制宜、创新发展的原则，结合威海市各地发展实际，统筹推动各项工作落到实处。</w:t>
      </w:r>
    </w:p>
    <w:p>
      <w:pPr>
        <w:pStyle w:val="19"/>
        <w:spacing w:before="156" w:after="156"/>
        <w:rPr>
          <w:rFonts w:hAnsi="Times New Roman" w:cs="Times New Roman"/>
        </w:rPr>
      </w:pPr>
      <w:r>
        <w:rPr>
          <w:rFonts w:hint="eastAsia" w:ascii="黑体" w:hAnsi="黑体" w:eastAsia="黑体" w:cs="黑体"/>
        </w:rPr>
        <w:t xml:space="preserve">4.1.1.2  </w:t>
      </w:r>
      <w:r>
        <w:rPr>
          <w:rFonts w:hint="eastAsia" w:hAnsi="Times New Roman" w:cs="Times New Roman"/>
        </w:rPr>
        <w:t>市委将红色物业工作纳入全市党的建设的大盘子，建立统筹协调机制，将红色物业工作纳入全市精致城市攻坚突破重点任务和城市基层党建“一事一品牌”内容，市委提出红色物业年度和阶段性目标规化，区（市）、镇街“一把手”作为“书记项目”直接推动。</w:t>
      </w:r>
    </w:p>
    <w:bookmarkEnd w:id="16"/>
    <w:p>
      <w:pPr>
        <w:pStyle w:val="18"/>
        <w:spacing w:before="156" w:after="156"/>
        <w:ind w:left="567" w:hanging="567" w:hangingChars="270"/>
        <w:rPr>
          <w:rFonts w:ascii="宋体" w:hAnsi="宋体" w:eastAsia="宋体" w:cs="Times New Roman"/>
        </w:rPr>
      </w:pPr>
      <w:bookmarkStart w:id="17" w:name="_Toc32022"/>
      <w:r>
        <w:rPr>
          <w:rFonts w:hint="eastAsia" w:hAnsi="黑体" w:cs="黑体"/>
        </w:rPr>
        <w:t>4.1.</w:t>
      </w:r>
      <w:r>
        <w:rPr>
          <w:rFonts w:hint="eastAsia" w:hAnsi="宋体" w:cs="Times New Roman"/>
        </w:rPr>
        <w:t>2  责任体系</w:t>
      </w:r>
      <w:bookmarkEnd w:id="17"/>
    </w:p>
    <w:p>
      <w:pPr>
        <w:pStyle w:val="19"/>
        <w:spacing w:before="156" w:after="156"/>
        <w:rPr>
          <w:rFonts w:hAnsi="Times New Roman" w:cs="Times New Roman"/>
        </w:rPr>
      </w:pPr>
      <w:r>
        <w:rPr>
          <w:rFonts w:ascii="黑体" w:hAnsi="黑体" w:eastAsia="黑体" w:cs="黑体"/>
        </w:rPr>
        <w:t>4.1.2.1</w:t>
      </w:r>
      <w:r>
        <w:rPr>
          <w:rFonts w:hint="eastAsia" w:ascii="黑体" w:hAnsi="黑体" w:eastAsia="黑体" w:cs="黑体"/>
        </w:rPr>
        <w:t xml:space="preserve">  </w:t>
      </w:r>
      <w:r>
        <w:rPr>
          <w:rFonts w:hint="eastAsia" w:hAnsi="Times New Roman" w:cs="Times New Roman"/>
        </w:rPr>
        <w:t>市级负责全市红色物业建设总部署，研究决定涉及威海全域红色物业发展的重大事项、</w:t>
      </w:r>
      <w:r>
        <w:rPr>
          <w:rFonts w:hint="eastAsia" w:hAnsi="Times New Roman" w:cs="Times New Roman"/>
          <w:lang w:eastAsia="zh-CN"/>
        </w:rPr>
        <w:t>重要</w:t>
      </w:r>
      <w:r>
        <w:rPr>
          <w:rFonts w:hint="eastAsia" w:hAnsi="Times New Roman" w:cs="Times New Roman"/>
        </w:rPr>
        <w:t>政策、</w:t>
      </w:r>
      <w:r>
        <w:rPr>
          <w:rFonts w:hint="eastAsia" w:hAnsi="Times New Roman" w:cs="Times New Roman"/>
          <w:lang w:eastAsia="zh-CN"/>
        </w:rPr>
        <w:t>重要</w:t>
      </w:r>
      <w:r>
        <w:rPr>
          <w:rFonts w:hint="eastAsia" w:hAnsi="Times New Roman" w:cs="Times New Roman"/>
        </w:rPr>
        <w:t>改革举措。</w:t>
      </w:r>
    </w:p>
    <w:p>
      <w:pPr>
        <w:pStyle w:val="19"/>
        <w:spacing w:before="156" w:after="156"/>
        <w:rPr>
          <w:rFonts w:hAnsi="Times New Roman" w:cs="Times New Roman"/>
        </w:rPr>
      </w:pPr>
      <w:r>
        <w:rPr>
          <w:rFonts w:hint="eastAsia" w:ascii="黑体" w:hAnsi="黑体" w:eastAsia="黑体" w:cs="黑体"/>
        </w:rPr>
        <w:t>4.1.2.2</w:t>
      </w:r>
      <w:r>
        <w:rPr>
          <w:rFonts w:hint="eastAsia" w:hAnsi="Times New Roman" w:cs="Times New Roman"/>
        </w:rPr>
        <w:t xml:space="preserve">  区市负责对辖区内红色物业建设工作的组织领导，建立由组织、住建、民政、市场监管、执法等相关部门组成的红色物业联席会议制度，研究解决本区域红色物业发展的热点、难点问题及工作措施。</w:t>
      </w:r>
    </w:p>
    <w:p>
      <w:pPr>
        <w:pStyle w:val="19"/>
        <w:spacing w:before="156" w:after="156"/>
        <w:rPr>
          <w:rFonts w:hAnsi="Times New Roman" w:cs="Times New Roman"/>
        </w:rPr>
      </w:pPr>
      <w:r>
        <w:rPr>
          <w:rFonts w:hint="eastAsia" w:ascii="黑体" w:hAnsi="黑体" w:eastAsia="黑体" w:cs="黑体"/>
        </w:rPr>
        <w:t>4.1.2.3</w:t>
      </w:r>
      <w:r>
        <w:rPr>
          <w:rFonts w:hint="eastAsia" w:hAnsi="Times New Roman" w:cs="Times New Roman"/>
        </w:rPr>
        <w:t xml:space="preserve">  街道党工委定期召集红色物业“党建联盟”会议，保证红色物业党建工作有场地、有经费、有工作机制，统筹解决涉及多个社区以及社区自身无法解决的复杂事项。</w:t>
      </w:r>
    </w:p>
    <w:p>
      <w:pPr>
        <w:pStyle w:val="19"/>
        <w:spacing w:before="156" w:after="156"/>
        <w:rPr>
          <w:rFonts w:hAnsi="Times New Roman" w:cs="Times New Roman"/>
        </w:rPr>
      </w:pPr>
      <w:r>
        <w:rPr>
          <w:rFonts w:ascii="黑体" w:hAnsi="黑体" w:eastAsia="黑体" w:cs="黑体"/>
        </w:rPr>
        <w:t xml:space="preserve">4.1.2.4  </w:t>
      </w:r>
      <w:r>
        <w:rPr>
          <w:rFonts w:hint="eastAsia" w:hAnsi="Times New Roman" w:cs="Times New Roman"/>
        </w:rPr>
        <w:t>社区党组织负责对辖区内物业服务企业、业主委员会党建工作进行监督指导，把业主委员会和物业服务企业党组织纳入网格党建范畴，抓实社区物业党建联建，构建社区治理框架下的新型物业服务管理综合体系。推动在居民委员会下设环境和物业管理委员会，引导社区各方力量有序参与社区治理。</w:t>
      </w:r>
    </w:p>
    <w:p>
      <w:pPr>
        <w:pStyle w:val="16"/>
        <w:numPr>
          <w:ilvl w:val="1"/>
          <w:numId w:val="0"/>
        </w:numPr>
        <w:spacing w:before="156" w:after="156"/>
      </w:pPr>
      <w:bookmarkStart w:id="18" w:name="_Hlk71223321"/>
      <w:bookmarkStart w:id="19" w:name="_Toc29225"/>
      <w:r>
        <w:rPr>
          <w:rFonts w:hint="eastAsia"/>
          <w:lang w:val="en-US" w:eastAsia="zh-CN"/>
        </w:rPr>
        <w:t xml:space="preserve">4.2  </w:t>
      </w:r>
      <w:r>
        <w:rPr>
          <w:rFonts w:hint="eastAsia"/>
        </w:rPr>
        <w:t>组织</w:t>
      </w:r>
      <w:bookmarkEnd w:id="18"/>
      <w:r>
        <w:rPr>
          <w:rFonts w:hint="eastAsia"/>
        </w:rPr>
        <w:t>建设</w:t>
      </w:r>
      <w:bookmarkEnd w:id="19"/>
    </w:p>
    <w:p>
      <w:pPr>
        <w:pStyle w:val="18"/>
        <w:spacing w:before="156" w:after="156"/>
        <w:ind w:left="567" w:hanging="567" w:hangingChars="270"/>
        <w:rPr>
          <w:rFonts w:ascii="宋体" w:hAnsi="宋体" w:eastAsia="宋体" w:cs="Times New Roman"/>
        </w:rPr>
      </w:pPr>
      <w:bookmarkStart w:id="20" w:name="_Toc9305"/>
      <w:r>
        <w:rPr>
          <w:rFonts w:hint="eastAsia" w:hAnsi="黑体" w:cs="黑体"/>
        </w:rPr>
        <w:t xml:space="preserve">4.2.1  </w:t>
      </w:r>
      <w:r>
        <w:rPr>
          <w:rFonts w:hint="eastAsia"/>
        </w:rPr>
        <w:t>物业行业党组织</w:t>
      </w:r>
      <w:bookmarkEnd w:id="20"/>
    </w:p>
    <w:p>
      <w:pPr>
        <w:pStyle w:val="19"/>
        <w:spacing w:before="156" w:after="156"/>
        <w:rPr>
          <w:rFonts w:hAnsi="Times New Roman" w:cs="Times New Roman"/>
        </w:rPr>
      </w:pPr>
      <w:r>
        <w:rPr>
          <w:rFonts w:hint="eastAsia" w:ascii="黑体" w:hAnsi="黑体" w:eastAsia="黑体" w:cs="黑体"/>
        </w:rPr>
        <w:t xml:space="preserve">4.2.1.1  </w:t>
      </w:r>
      <w:r>
        <w:rPr>
          <w:rFonts w:hint="eastAsia" w:hAnsi="Times New Roman" w:cs="Times New Roman"/>
        </w:rPr>
        <w:t>建立完善“市物业管理行业党委—区市物业管理行业党总支—物业服务企业党组织—网格（小区）物业项目党组织”四级组织体系。</w:t>
      </w:r>
    </w:p>
    <w:p>
      <w:pPr>
        <w:pStyle w:val="19"/>
        <w:spacing w:before="156" w:after="156"/>
        <w:rPr>
          <w:rFonts w:hAnsi="Times New Roman" w:cs="Times New Roman"/>
        </w:rPr>
      </w:pPr>
      <w:r>
        <w:rPr>
          <w:rFonts w:hint="eastAsia" w:ascii="黑体" w:hAnsi="黑体" w:eastAsia="黑体" w:cs="黑体"/>
        </w:rPr>
        <w:t xml:space="preserve">4.2.1.2  </w:t>
      </w:r>
      <w:r>
        <w:rPr>
          <w:rFonts w:hint="eastAsia" w:hAnsi="Times New Roman" w:cs="Times New Roman"/>
        </w:rPr>
        <w:t>市及区市、开发区住房城乡建设部门做实物业管理行业党委、党总支，按照市级不少于6人、区市不少于3人的标准，配备专职工作人员，负责对物业行业党建工作的指导、督查和考核。</w:t>
      </w:r>
    </w:p>
    <w:p>
      <w:pPr>
        <w:pStyle w:val="18"/>
        <w:spacing w:before="156" w:after="156"/>
        <w:ind w:left="567" w:hanging="567" w:hangingChars="270"/>
      </w:pPr>
      <w:bookmarkStart w:id="21" w:name="_Toc9086"/>
      <w:r>
        <w:rPr>
          <w:rFonts w:hint="eastAsia" w:hAnsi="黑体" w:cs="黑体"/>
        </w:rPr>
        <w:t xml:space="preserve">4.2.2  </w:t>
      </w:r>
      <w:r>
        <w:rPr>
          <w:rFonts w:hint="eastAsia"/>
        </w:rPr>
        <w:t>物业服务企业党组织</w:t>
      </w:r>
      <w:bookmarkEnd w:id="21"/>
    </w:p>
    <w:p>
      <w:pPr>
        <w:pStyle w:val="19"/>
        <w:spacing w:before="156" w:after="156"/>
        <w:rPr>
          <w:rFonts w:hAnsi="Times New Roman" w:cs="Times New Roman"/>
        </w:rPr>
      </w:pPr>
      <w:r>
        <w:rPr>
          <w:rFonts w:hint="eastAsia" w:ascii="黑体" w:hAnsi="黑体" w:eastAsia="黑体" w:cs="黑体"/>
        </w:rPr>
        <w:t xml:space="preserve">4.2.2.1  </w:t>
      </w:r>
      <w:r>
        <w:rPr>
          <w:rFonts w:hint="eastAsia" w:hAnsi="Times New Roman" w:cs="Times New Roman"/>
        </w:rPr>
        <w:t>凡物业服务项目有3人以上正式党员的，应建立党支部（党小组），组织关系隶属物业企业党组织，并同时接受所在区市、开发区行业党总支和社区党组织双重领导和指导。</w:t>
      </w:r>
    </w:p>
    <w:p>
      <w:pPr>
        <w:pStyle w:val="19"/>
        <w:spacing w:before="156" w:after="156"/>
        <w:rPr>
          <w:rFonts w:hAnsi="Times New Roman" w:cs="Times New Roman"/>
        </w:rPr>
      </w:pPr>
      <w:r>
        <w:rPr>
          <w:rFonts w:hint="eastAsia" w:ascii="黑体" w:hAnsi="黑体" w:eastAsia="黑体" w:cs="黑体"/>
        </w:rPr>
        <w:t xml:space="preserve">4.2.2.2  </w:t>
      </w:r>
      <w:r>
        <w:rPr>
          <w:rFonts w:hint="eastAsia" w:hAnsi="Times New Roman" w:cs="Times New Roman"/>
        </w:rPr>
        <w:t>对没有党员的物业服务企业全部选派党建工作指导员，每个物业项目每年至少培养1名入党积极分子。物业服务企业承接物业服务项目应当指派项目负责人，优先培养项目负责人入党。</w:t>
      </w:r>
    </w:p>
    <w:p>
      <w:pPr>
        <w:pStyle w:val="19"/>
        <w:spacing w:before="156" w:after="156"/>
        <w:rPr>
          <w:rFonts w:hAnsi="Times New Roman" w:cs="Times New Roman"/>
        </w:rPr>
      </w:pPr>
      <w:r>
        <w:rPr>
          <w:rFonts w:hint="eastAsia" w:ascii="黑体" w:hAnsi="黑体" w:eastAsia="黑体" w:cs="黑体"/>
        </w:rPr>
        <w:t xml:space="preserve">4.2.2.3  </w:t>
      </w:r>
      <w:r>
        <w:rPr>
          <w:rFonts w:hint="eastAsia" w:hAnsi="Times New Roman" w:cs="Times New Roman"/>
        </w:rPr>
        <w:t>物业企业发展党员实施计划指标单列。25人以上的物业企业应有党员。市级物业行业协会党委建立育新党支部，指导未成立党组织的物业项目培养入党积极分子。</w:t>
      </w:r>
    </w:p>
    <w:p>
      <w:pPr>
        <w:pStyle w:val="19"/>
        <w:spacing w:before="156" w:after="156"/>
        <w:rPr>
          <w:rFonts w:hAnsi="Times New Roman" w:cs="Times New Roman"/>
        </w:rPr>
      </w:pPr>
      <w:r>
        <w:rPr>
          <w:rFonts w:hint="eastAsia" w:ascii="黑体" w:hAnsi="黑体" w:eastAsia="黑体" w:cs="黑体"/>
        </w:rPr>
        <w:t xml:space="preserve">4.2.2.4  </w:t>
      </w:r>
      <w:r>
        <w:rPr>
          <w:rFonts w:hint="eastAsia" w:hAnsi="Times New Roman" w:cs="Times New Roman"/>
        </w:rPr>
        <w:t>推行物业服务企业党组织“标准化+过硬支部”建设。开展“三会一课”、“主题党日”、党费收缴管理、民主评议党员、推行党组织星级评定和党员量化积分管理工作，夯实物业企业党组织建设基础；开展“比党建看初心、比服务看为民、比诚信看品牌、比技能看素质、比精致看发展”的“五比五看”等创新性特色化党建活动，打造过硬支部和红色队伍，发挥物业服务企业党组织和党员队伍在红色物业中的战斗堡垒和先锋模范作用，保证物业服务企业党建工作质量。</w:t>
      </w:r>
    </w:p>
    <w:p>
      <w:pPr>
        <w:pStyle w:val="19"/>
        <w:spacing w:before="156" w:after="156"/>
        <w:rPr>
          <w:rFonts w:hAnsi="Times New Roman" w:cs="Times New Roman"/>
        </w:rPr>
      </w:pPr>
      <w:r>
        <w:rPr>
          <w:rFonts w:hint="eastAsia" w:ascii="黑体" w:hAnsi="黑体" w:eastAsia="黑体" w:cs="黑体"/>
        </w:rPr>
        <w:t xml:space="preserve">4.2.2.5  </w:t>
      </w:r>
      <w:r>
        <w:rPr>
          <w:rFonts w:hint="eastAsia" w:hAnsi="Times New Roman" w:cs="Times New Roman"/>
        </w:rPr>
        <w:t>落实物业企业党建工作定期排查、日常监管和考核评价，将物业企业党建工作情况作为行业评先树优、诚信考核等</w:t>
      </w:r>
      <w:r>
        <w:rPr>
          <w:rFonts w:hint="eastAsia" w:hAnsi="Times New Roman" w:cs="Times New Roman"/>
          <w:lang w:eastAsia="zh-CN"/>
        </w:rPr>
        <w:t>重要</w:t>
      </w:r>
      <w:r>
        <w:rPr>
          <w:rFonts w:hint="eastAsia" w:hAnsi="Times New Roman" w:cs="Times New Roman"/>
        </w:rPr>
        <w:t>依据。</w:t>
      </w:r>
    </w:p>
    <w:p>
      <w:pPr>
        <w:pStyle w:val="18"/>
        <w:spacing w:before="156" w:after="156"/>
        <w:ind w:left="567" w:hanging="567" w:hangingChars="270"/>
        <w:rPr>
          <w:rFonts w:ascii="宋体" w:hAnsi="宋体" w:eastAsia="宋体" w:cs="Times New Roman"/>
        </w:rPr>
      </w:pPr>
      <w:bookmarkStart w:id="22" w:name="_Toc18215"/>
      <w:r>
        <w:rPr>
          <w:rFonts w:hint="eastAsia" w:hAnsi="黑体" w:cs="黑体"/>
        </w:rPr>
        <w:t xml:space="preserve">4.2.3  </w:t>
      </w:r>
      <w:r>
        <w:rPr>
          <w:rFonts w:hint="eastAsia"/>
        </w:rPr>
        <w:t>业主委员会党组织</w:t>
      </w:r>
      <w:bookmarkEnd w:id="22"/>
    </w:p>
    <w:p>
      <w:pPr>
        <w:pStyle w:val="19"/>
        <w:spacing w:before="156" w:after="156"/>
        <w:rPr>
          <w:rFonts w:hAnsi="Times New Roman" w:cs="Times New Roman"/>
        </w:rPr>
      </w:pPr>
      <w:r>
        <w:rPr>
          <w:rFonts w:hint="eastAsia" w:ascii="黑体" w:hAnsi="黑体" w:eastAsia="黑体" w:cs="黑体"/>
        </w:rPr>
        <w:t xml:space="preserve">4.2.3.1  </w:t>
      </w:r>
      <w:r>
        <w:rPr>
          <w:rFonts w:hint="eastAsia" w:hAnsi="Times New Roman" w:cs="Times New Roman"/>
        </w:rPr>
        <w:t>业主委员会党组织在社区党组织领导下开展工作，教育管理监督业主委员会党员，引领服务业主，听取业主意见建议，维护业主合法权益，提升党在业主群体中的话语权、影响力。</w:t>
      </w:r>
    </w:p>
    <w:p>
      <w:pPr>
        <w:pStyle w:val="19"/>
        <w:spacing w:before="156" w:after="156"/>
        <w:rPr>
          <w:rFonts w:hAnsi="Times New Roman" w:cs="Times New Roman"/>
        </w:rPr>
      </w:pPr>
      <w:r>
        <w:rPr>
          <w:rFonts w:hint="eastAsia" w:ascii="黑体" w:hAnsi="黑体" w:eastAsia="黑体" w:cs="黑体"/>
        </w:rPr>
        <w:t>4.2.3.2</w:t>
      </w:r>
      <w:r>
        <w:rPr>
          <w:rFonts w:hint="eastAsia" w:hAnsi="Times New Roman" w:cs="Times New Roman"/>
        </w:rPr>
        <w:t xml:space="preserve">  对新建、换届新组建的业主委员会，同步建立党组织。对已经成立的业主委员会，符合成立党组织条件的，应建尽建，新成立、新换届业主委员会成员中党员比例不低于60%。现有业主委员会应通过改选、补选、发展党员等方式逐步提高党员比例。对不符合建立党组织条件的业主委员会，由镇街党（工）委选派党建工作指导员，实现党的工作覆盖。业主委员会党组织关系隶属所在社区党组织，在镇街、社区党组织领导和指导下开展工作。鼓励党员业主担任业主委员会主任，党员业主委员会主任应当兼任业主委员会党组织书记。</w:t>
      </w:r>
    </w:p>
    <w:p>
      <w:pPr>
        <w:pStyle w:val="19"/>
        <w:spacing w:before="156" w:after="156"/>
        <w:rPr>
          <w:rFonts w:hAnsi="Times New Roman" w:cs="Times New Roman"/>
        </w:rPr>
      </w:pPr>
      <w:r>
        <w:rPr>
          <w:rFonts w:hint="eastAsia" w:ascii="黑体" w:hAnsi="黑体" w:eastAsia="黑体" w:cs="黑体"/>
        </w:rPr>
        <w:t xml:space="preserve">4.2.3.3  </w:t>
      </w:r>
      <w:r>
        <w:rPr>
          <w:rFonts w:hint="eastAsia" w:hAnsi="Times New Roman" w:cs="Times New Roman"/>
        </w:rPr>
        <w:t>区市物业主管部门应明确不宜作为业主委员会委员候选人人选的具体情形，建立镇街党（工）委和住建、政法、信访等部门参加的联审把关机制。</w:t>
      </w:r>
    </w:p>
    <w:p>
      <w:pPr>
        <w:pStyle w:val="19"/>
        <w:spacing w:before="156" w:after="156"/>
        <w:rPr>
          <w:rFonts w:hAnsi="Times New Roman" w:cs="Times New Roman"/>
        </w:rPr>
      </w:pPr>
      <w:r>
        <w:rPr>
          <w:rFonts w:hint="eastAsia" w:ascii="黑体" w:hAnsi="黑体" w:eastAsia="黑体" w:cs="黑体"/>
        </w:rPr>
        <w:t xml:space="preserve">4.2.3.4  </w:t>
      </w:r>
      <w:r>
        <w:rPr>
          <w:rFonts w:hint="eastAsia" w:hAnsi="Times New Roman" w:cs="Times New Roman"/>
        </w:rPr>
        <w:t>建立业主委员会党组织前置讨论研究机制。明确业主委员会党组织前置讨论研究的程序，并写入业主大会议事规则、管理规约，业主委员会根据授权召集表决物业服务企业选聘、环境改造、公共设施完善、动用大额维修资金等重大事项，</w:t>
      </w:r>
      <w:r>
        <w:rPr>
          <w:rFonts w:hint="eastAsia" w:hAnsi="Times New Roman" w:cs="Times New Roman"/>
          <w:lang w:eastAsia="zh-CN"/>
        </w:rPr>
        <w:t>应</w:t>
      </w:r>
      <w:r>
        <w:rPr>
          <w:rFonts w:hint="eastAsia" w:hAnsi="Times New Roman" w:cs="Times New Roman"/>
        </w:rPr>
        <w:t>经业主委员会党组织研究提出意见后，再由业主委员会讨论后作出决定，结果向社区党组织报告，并书面向镇街党（工）委报备。</w:t>
      </w:r>
    </w:p>
    <w:p>
      <w:pPr>
        <w:pStyle w:val="16"/>
        <w:numPr>
          <w:ilvl w:val="1"/>
          <w:numId w:val="0"/>
        </w:numPr>
        <w:spacing w:before="156" w:after="156"/>
      </w:pPr>
      <w:bookmarkStart w:id="23" w:name="_Toc4692"/>
      <w:r>
        <w:rPr>
          <w:rFonts w:hint="eastAsia"/>
          <w:lang w:val="en-US" w:eastAsia="zh-CN"/>
        </w:rPr>
        <w:t xml:space="preserve">4.3  </w:t>
      </w:r>
      <w:r>
        <w:rPr>
          <w:rFonts w:hint="eastAsia"/>
        </w:rPr>
        <w:t>制度</w:t>
      </w:r>
      <w:bookmarkEnd w:id="23"/>
      <w:r>
        <w:rPr>
          <w:rFonts w:hint="eastAsia"/>
        </w:rPr>
        <w:t>建设</w:t>
      </w:r>
    </w:p>
    <w:p>
      <w:pPr>
        <w:pStyle w:val="18"/>
        <w:spacing w:before="156" w:after="156"/>
        <w:ind w:left="567" w:hanging="567" w:hangingChars="270"/>
        <w:rPr>
          <w:rFonts w:ascii="宋体" w:hAnsi="宋体" w:eastAsia="宋体" w:cs="Times New Roman"/>
        </w:rPr>
      </w:pPr>
      <w:bookmarkStart w:id="24" w:name="_Toc512"/>
      <w:r>
        <w:rPr>
          <w:rFonts w:hint="eastAsia" w:hAnsi="黑体" w:cs="黑体"/>
        </w:rPr>
        <w:t xml:space="preserve">4.3.1  </w:t>
      </w:r>
      <w:r>
        <w:rPr>
          <w:rFonts w:hint="eastAsia"/>
        </w:rPr>
        <w:t>顶层设计</w:t>
      </w:r>
      <w:bookmarkEnd w:id="24"/>
    </w:p>
    <w:p>
      <w:pPr>
        <w:pStyle w:val="19"/>
        <w:spacing w:before="156" w:after="156"/>
        <w:ind w:firstLine="420" w:firstLineChars="200"/>
        <w:rPr>
          <w:rFonts w:hAnsi="Times New Roman" w:cs="Times New Roman"/>
        </w:rPr>
      </w:pPr>
      <w:r>
        <w:rPr>
          <w:rFonts w:hint="eastAsia" w:hAnsi="Times New Roman" w:cs="Times New Roman"/>
        </w:rPr>
        <w:t>落实国家、省、市有关打造红色物业、推动物业行业高质量发展、提升基层社区治理水平等指导性和法规性文件精神，根据威海精致城市建设的进程、红色物业的发展实际和人民群众的需求，不断对标先进经验，加强前膽性研究，在市、区市两级层面适时推出引领本区域红色物业可持续发展的战略规划、指导性意见和规范性文件。 实施威海红色物业发展行动计划，系统谋划红色物业远景发展规划。</w:t>
      </w:r>
    </w:p>
    <w:p>
      <w:pPr>
        <w:pStyle w:val="18"/>
        <w:spacing w:before="156" w:after="156"/>
        <w:ind w:left="567" w:hanging="567" w:hangingChars="270"/>
        <w:rPr>
          <w:rFonts w:ascii="宋体" w:hAnsi="宋体" w:eastAsia="宋体" w:cs="Times New Roman"/>
        </w:rPr>
      </w:pPr>
      <w:bookmarkStart w:id="25" w:name="_Toc9294"/>
      <w:r>
        <w:rPr>
          <w:rFonts w:hint="eastAsia" w:hAnsi="黑体" w:cs="黑体"/>
        </w:rPr>
        <w:t xml:space="preserve">4.3.2  </w:t>
      </w:r>
      <w:r>
        <w:rPr>
          <w:rFonts w:hint="eastAsia"/>
        </w:rPr>
        <w:t>标准体系</w:t>
      </w:r>
      <w:bookmarkEnd w:id="25"/>
      <w:r>
        <w:rPr>
          <w:rFonts w:hint="eastAsia"/>
        </w:rPr>
        <w:t>建设</w:t>
      </w:r>
    </w:p>
    <w:p>
      <w:pPr>
        <w:pStyle w:val="19"/>
        <w:spacing w:before="156" w:after="156"/>
        <w:ind w:firstLine="420" w:firstLineChars="200"/>
        <w:rPr>
          <w:rFonts w:hAnsi="Times New Roman" w:cs="Times New Roman"/>
        </w:rPr>
      </w:pPr>
      <w:r>
        <w:rPr>
          <w:rFonts w:hint="eastAsia" w:hAnsi="Times New Roman" w:cs="Times New Roman"/>
        </w:rPr>
        <w:t>落实现行红色物业建设标准、物业企业服务标准、小区星级管理标准、智慧小区建设标准等，持续构建内容完备、覆盖广泛、目标先进、服务精细、治理精准的威海红色物业建设标准化体系。</w:t>
      </w:r>
    </w:p>
    <w:p>
      <w:pPr>
        <w:pStyle w:val="18"/>
        <w:spacing w:before="156" w:after="156"/>
        <w:ind w:left="567" w:hanging="567" w:hangingChars="270"/>
        <w:rPr>
          <w:rFonts w:ascii="宋体" w:hAnsi="宋体" w:eastAsia="宋体" w:cs="Times New Roman"/>
        </w:rPr>
      </w:pPr>
      <w:bookmarkStart w:id="26" w:name="_Toc31389"/>
      <w:r>
        <w:rPr>
          <w:rFonts w:hint="eastAsia" w:hAnsi="黑体" w:cs="黑体"/>
        </w:rPr>
        <w:t>4.3.3</w:t>
      </w:r>
      <w:r>
        <w:rPr>
          <w:rFonts w:hAnsi="黑体" w:cs="黑体"/>
        </w:rPr>
        <w:t xml:space="preserve">  </w:t>
      </w:r>
      <w:r>
        <w:rPr>
          <w:rFonts w:hint="eastAsia"/>
        </w:rPr>
        <w:t>行业性法规制度</w:t>
      </w:r>
      <w:bookmarkEnd w:id="26"/>
      <w:r>
        <w:rPr>
          <w:rFonts w:hint="eastAsia"/>
        </w:rPr>
        <w:t>建设</w:t>
      </w:r>
    </w:p>
    <w:p>
      <w:pPr>
        <w:pStyle w:val="19"/>
        <w:spacing w:before="156" w:after="156"/>
        <w:rPr>
          <w:rFonts w:hAnsi="Times New Roman" w:cs="Times New Roman"/>
        </w:rPr>
      </w:pPr>
      <w:r>
        <w:rPr>
          <w:rFonts w:hint="eastAsia" w:ascii="黑体" w:hAnsi="黑体" w:eastAsia="黑体" w:cs="黑体"/>
        </w:rPr>
        <w:t xml:space="preserve">4.3.3.1  </w:t>
      </w:r>
      <w:r>
        <w:rPr>
          <w:rFonts w:hint="eastAsia" w:hAnsi="Times New Roman" w:cs="Times New Roman"/>
        </w:rPr>
        <w:t>落实《威海市物业管理办法》，区市各级物业主管部门每年</w:t>
      </w:r>
      <w:r>
        <w:rPr>
          <w:rFonts w:hint="eastAsia" w:hAnsi="Times New Roman" w:cs="Times New Roman"/>
          <w:lang w:eastAsia="zh-CN"/>
        </w:rPr>
        <w:t>应</w:t>
      </w:r>
      <w:r>
        <w:rPr>
          <w:rFonts w:hint="eastAsia" w:hAnsi="Times New Roman" w:cs="Times New Roman"/>
        </w:rPr>
        <w:t>组织开展物业企业“双随机、一公开”督导检查，有效提升物业服务质量。</w:t>
      </w:r>
    </w:p>
    <w:p>
      <w:pPr>
        <w:pStyle w:val="19"/>
        <w:spacing w:before="156" w:after="156"/>
        <w:rPr>
          <w:rFonts w:hAnsi="Times New Roman" w:cs="Times New Roman"/>
        </w:rPr>
      </w:pPr>
      <w:r>
        <w:rPr>
          <w:rFonts w:hint="eastAsia" w:ascii="黑体" w:hAnsi="黑体" w:eastAsia="黑体" w:cs="黑体"/>
        </w:rPr>
        <w:t>4.3.3.2</w:t>
      </w:r>
      <w:r>
        <w:rPr>
          <w:rFonts w:ascii="黑体" w:hAnsi="黑体" w:eastAsia="黑体" w:cs="黑体"/>
        </w:rPr>
        <w:t xml:space="preserve">  </w:t>
      </w:r>
      <w:r>
        <w:rPr>
          <w:rFonts w:hint="eastAsia" w:hAnsi="Times New Roman" w:cs="Times New Roman"/>
        </w:rPr>
        <w:t>完善对业主委员会的监督管理制度。区市物业主管部门牵头制定业主委员会向社区党组织定期报告制度、业主大会和业主委员会印章使用监管制度，业主大会印章、业主委员会印章等由社区党组织代管，建立街道社区党组织领导下的业委会纠错和退出机制，加强对业主委员会的履职监督。市物业主管部门牵头制定《业委会党建工作指南》和管理规约、业主大会议事规则等规范文本。</w:t>
      </w:r>
    </w:p>
    <w:p>
      <w:pPr>
        <w:pStyle w:val="19"/>
        <w:spacing w:before="156" w:after="156"/>
        <w:rPr>
          <w:rFonts w:hAnsi="Times New Roman" w:cs="Times New Roman"/>
        </w:rPr>
      </w:pPr>
      <w:r>
        <w:rPr>
          <w:rFonts w:hint="eastAsia" w:ascii="黑体" w:hAnsi="黑体" w:eastAsia="黑体" w:cs="黑体"/>
        </w:rPr>
        <w:t xml:space="preserve">4.3.3.3  </w:t>
      </w:r>
      <w:r>
        <w:rPr>
          <w:rFonts w:hint="eastAsia" w:hAnsi="Times New Roman" w:cs="Times New Roman"/>
        </w:rPr>
        <w:t>实施“三公开三透明三报告”制度。推进物业服务企业公开服务标准和价格、投诉渠道和方式、公共收益信息“三公开”，对收费标准、服务内容、服务标准等上墙公开。推进组织人事透明、财务收支透明、工作信息透明“三透明”。推行物业服务企业向物业主管部门、社区党组织、业主委员会报告年度服务承诺兑现等情况。区市物业主管部门对“三公开三透明三报告”落实情况进行监督检查，对于落实整改不到位的视情况采取约谈、通报及计入信用档案等措施。</w:t>
      </w:r>
    </w:p>
    <w:p>
      <w:pPr>
        <w:pStyle w:val="16"/>
        <w:numPr>
          <w:ilvl w:val="1"/>
          <w:numId w:val="0"/>
        </w:numPr>
        <w:spacing w:before="156" w:after="156"/>
      </w:pPr>
      <w:bookmarkStart w:id="27" w:name="_Toc19576"/>
      <w:r>
        <w:rPr>
          <w:rFonts w:hint="eastAsia"/>
          <w:lang w:val="en-US" w:eastAsia="zh-CN"/>
        </w:rPr>
        <w:t xml:space="preserve">4.4  </w:t>
      </w:r>
      <w:r>
        <w:rPr>
          <w:rFonts w:hint="eastAsia"/>
        </w:rPr>
        <w:t>保障</w:t>
      </w:r>
      <w:bookmarkEnd w:id="27"/>
      <w:r>
        <w:rPr>
          <w:rFonts w:hint="eastAsia"/>
        </w:rPr>
        <w:t>机制</w:t>
      </w:r>
    </w:p>
    <w:p>
      <w:pPr>
        <w:pStyle w:val="18"/>
        <w:spacing w:before="156" w:after="156"/>
        <w:ind w:left="567" w:hanging="567" w:hangingChars="270"/>
        <w:rPr>
          <w:rFonts w:ascii="宋体" w:hAnsi="宋体" w:eastAsia="宋体" w:cs="Times New Roman"/>
        </w:rPr>
      </w:pPr>
      <w:bookmarkStart w:id="28" w:name="_Toc6591"/>
      <w:r>
        <w:rPr>
          <w:rFonts w:hint="eastAsia" w:hAnsi="黑体" w:cs="黑体"/>
        </w:rPr>
        <w:t>4.4.1</w:t>
      </w:r>
      <w:r>
        <w:rPr>
          <w:rFonts w:hAnsi="黑体" w:cs="黑体"/>
        </w:rPr>
        <w:t xml:space="preserve">  </w:t>
      </w:r>
      <w:r>
        <w:rPr>
          <w:rFonts w:hint="eastAsia"/>
        </w:rPr>
        <w:t>长效投入</w:t>
      </w:r>
      <w:bookmarkEnd w:id="28"/>
    </w:p>
    <w:p>
      <w:pPr>
        <w:pStyle w:val="19"/>
        <w:spacing w:before="156" w:after="156"/>
        <w:rPr>
          <w:rFonts w:hAnsi="Times New Roman" w:cs="Times New Roman"/>
        </w:rPr>
      </w:pPr>
      <w:r>
        <w:rPr>
          <w:rFonts w:hint="eastAsia" w:ascii="黑体" w:hAnsi="黑体" w:eastAsia="黑体" w:cs="黑体"/>
        </w:rPr>
        <w:t xml:space="preserve">4.4.1.1  </w:t>
      </w:r>
      <w:r>
        <w:rPr>
          <w:rFonts w:hint="eastAsia" w:hAnsi="Times New Roman" w:cs="Times New Roman"/>
        </w:rPr>
        <w:t>健全红色物业日常经费保障机制。用好非公有制经济组织党建工作经费，落实物业企业党费全额返还、党组织工作经费税前列支等政策，确保每个物业企业党组织每年经费不少于3000元。鼓励社区党组织每年从为民服务专项经费中列支不少于3万元，通过设立党建工作项目等方式，引导支持物业服务企业党组织开展党建工作。业主委员会党组织活动经费、场所由所在社区党组织予以保障。</w:t>
      </w:r>
    </w:p>
    <w:p>
      <w:pPr>
        <w:pStyle w:val="19"/>
        <w:spacing w:before="156" w:after="156"/>
        <w:rPr>
          <w:rFonts w:hAnsi="Times New Roman" w:cs="Times New Roman"/>
        </w:rPr>
      </w:pPr>
      <w:r>
        <w:rPr>
          <w:rFonts w:hint="eastAsia" w:ascii="黑体" w:hAnsi="黑体" w:eastAsia="黑体" w:cs="黑体"/>
        </w:rPr>
        <w:t>4.4.1.2</w:t>
      </w:r>
      <w:r>
        <w:rPr>
          <w:rFonts w:ascii="黑体" w:hAnsi="黑体" w:eastAsia="黑体" w:cs="黑体"/>
        </w:rPr>
        <w:t xml:space="preserve">  </w:t>
      </w:r>
      <w:r>
        <w:rPr>
          <w:rFonts w:hint="eastAsia" w:hAnsi="Times New Roman" w:cs="Times New Roman"/>
        </w:rPr>
        <w:t>拓宽红色物业基础设施改造投入渠道。落实《威海市物业管理办法》关于商品住宅专项维修资金、房改房维修资金增值收益统筹使用的规定，实现商品房维修资金部分统筹和房改房维修资金全部统筹，扩大应急使用范围，精简实用程序，提高使用效率。</w:t>
      </w:r>
    </w:p>
    <w:p>
      <w:pPr>
        <w:pStyle w:val="19"/>
        <w:spacing w:before="156" w:after="156"/>
        <w:rPr>
          <w:rFonts w:hAnsi="Times New Roman" w:cs="Times New Roman"/>
        </w:rPr>
      </w:pPr>
      <w:r>
        <w:rPr>
          <w:rFonts w:hint="eastAsia" w:ascii="黑体" w:hAnsi="黑体" w:eastAsia="黑体" w:cs="黑体"/>
        </w:rPr>
        <w:t>4.4.1.3</w:t>
      </w:r>
      <w:r>
        <w:rPr>
          <w:rFonts w:ascii="黑体" w:hAnsi="黑体" w:eastAsia="黑体" w:cs="黑体"/>
        </w:rPr>
        <w:t xml:space="preserve">  </w:t>
      </w:r>
      <w:r>
        <w:rPr>
          <w:rFonts w:hint="eastAsia" w:hAnsi="Times New Roman" w:cs="Times New Roman"/>
        </w:rPr>
        <w:t>建立红色物业重点示范项目专项投入机制。把重点示范项目建设和培育纳入精致城市建设预算，市级投入专项资金培育红色物业重点示范项目，各区市列支专项资金用于红色物业奖补激励，支持红色物业发展。</w:t>
      </w:r>
    </w:p>
    <w:p>
      <w:pPr>
        <w:pStyle w:val="18"/>
        <w:spacing w:before="156" w:after="156"/>
        <w:ind w:left="567" w:hanging="567" w:hangingChars="270"/>
        <w:rPr>
          <w:rFonts w:ascii="宋体" w:hAnsi="宋体" w:eastAsia="宋体" w:cs="Times New Roman"/>
        </w:rPr>
      </w:pPr>
      <w:bookmarkStart w:id="29" w:name="_Toc17890"/>
      <w:r>
        <w:rPr>
          <w:rFonts w:hint="eastAsia" w:hAnsi="黑体" w:cs="黑体"/>
        </w:rPr>
        <w:t xml:space="preserve">4.4.2  </w:t>
      </w:r>
      <w:r>
        <w:rPr>
          <w:rFonts w:hint="eastAsia"/>
        </w:rPr>
        <w:t>服务阵地发挥功能</w:t>
      </w:r>
      <w:bookmarkEnd w:id="29"/>
    </w:p>
    <w:p>
      <w:pPr>
        <w:pStyle w:val="19"/>
        <w:spacing w:before="156" w:after="156"/>
        <w:rPr>
          <w:rFonts w:hAnsi="Times New Roman" w:cs="Times New Roman"/>
        </w:rPr>
      </w:pPr>
      <w:r>
        <w:rPr>
          <w:rFonts w:hint="eastAsia" w:ascii="黑体" w:hAnsi="黑体" w:eastAsia="黑体" w:cs="黑体"/>
        </w:rPr>
        <w:t>4.4.2.1</w:t>
      </w:r>
      <w:r>
        <w:rPr>
          <w:rFonts w:ascii="黑体" w:hAnsi="黑体" w:eastAsia="黑体" w:cs="黑体"/>
        </w:rPr>
        <w:t xml:space="preserve">  </w:t>
      </w:r>
      <w:r>
        <w:rPr>
          <w:rFonts w:hint="eastAsia" w:hAnsi="Times New Roman" w:cs="Times New Roman"/>
        </w:rPr>
        <w:t>市级红色物业党建基地应丰富党建文化长廊、智慧中心、党员和志愿者之家、红色物业大讲堂等的功能和内涵，在行业党建、文化展示、智慧管理、人员培训等方面，发挥好全域红色物业”党建主阵地、文化主窗口、智慧总枢纽、培训大本营”的引领作用。</w:t>
      </w:r>
    </w:p>
    <w:p>
      <w:pPr>
        <w:pStyle w:val="19"/>
        <w:spacing w:before="156" w:after="156"/>
        <w:rPr>
          <w:rFonts w:hAnsi="Times New Roman" w:cs="Times New Roman"/>
        </w:rPr>
      </w:pPr>
      <w:r>
        <w:rPr>
          <w:rFonts w:hint="eastAsia" w:ascii="黑体" w:hAnsi="黑体" w:eastAsia="黑体" w:cs="黑体"/>
        </w:rPr>
        <w:t xml:space="preserve">4.4.2.2  </w:t>
      </w:r>
      <w:r>
        <w:rPr>
          <w:rFonts w:hint="eastAsia" w:hAnsi="Times New Roman" w:cs="Times New Roman"/>
        </w:rPr>
        <w:t>区市级分中心展示各区市红色物业的战略规划、发展路径、经验举措和示范亮点，把红色物业服务中心打造成辖区内红色物业行业党建引领、文化支撑、科技驱动、人才培养、服务社会的“红色阵地”。</w:t>
      </w:r>
    </w:p>
    <w:p>
      <w:pPr>
        <w:pStyle w:val="19"/>
        <w:spacing w:before="156" w:after="156"/>
        <w:rPr>
          <w:rFonts w:hAnsi="Times New Roman" w:cs="Times New Roman"/>
        </w:rPr>
      </w:pPr>
      <w:r>
        <w:rPr>
          <w:rFonts w:hint="eastAsia" w:ascii="黑体" w:hAnsi="黑体" w:eastAsia="黑体" w:cs="黑体"/>
        </w:rPr>
        <w:t>4.4.2.3</w:t>
      </w:r>
      <w:r>
        <w:rPr>
          <w:rFonts w:ascii="黑体" w:hAnsi="黑体" w:eastAsia="黑体" w:cs="黑体"/>
        </w:rPr>
        <w:t xml:space="preserve">  </w:t>
      </w:r>
      <w:r>
        <w:rPr>
          <w:rFonts w:hint="eastAsia" w:hAnsi="Times New Roman" w:cs="Times New Roman"/>
        </w:rPr>
        <w:t>镇街社区红色物业服务窗口严格落实物业服务用房配置</w:t>
      </w:r>
      <w:r>
        <w:rPr>
          <w:rFonts w:hint="eastAsia" w:hAnsi="Times New Roman" w:cs="Times New Roman"/>
          <w:lang w:eastAsia="zh-CN"/>
        </w:rPr>
        <w:t>要求</w:t>
      </w:r>
      <w:r>
        <w:rPr>
          <w:rFonts w:hint="eastAsia" w:hAnsi="Times New Roman" w:cs="Times New Roman"/>
        </w:rPr>
        <w:t>，支持物业企业自主创办红色服务驿站或在社区党群服务中心设立物业服务柜台、专区，为居民提供物业交费、服务办理、意见咨询、投诉受理等“一站式”服务。</w:t>
      </w:r>
    </w:p>
    <w:p>
      <w:pPr>
        <w:pStyle w:val="18"/>
        <w:spacing w:before="156" w:after="156"/>
        <w:ind w:left="567" w:hanging="567" w:hangingChars="270"/>
      </w:pPr>
      <w:bookmarkStart w:id="30" w:name="_Toc21033"/>
      <w:r>
        <w:rPr>
          <w:rFonts w:hint="eastAsia" w:hAnsi="黑体" w:cs="黑体"/>
        </w:rPr>
        <w:t>4.4.3</w:t>
      </w:r>
      <w:r>
        <w:rPr>
          <w:rFonts w:hAnsi="黑体" w:cs="黑体"/>
        </w:rPr>
        <w:t xml:space="preserve">  </w:t>
      </w:r>
      <w:r>
        <w:rPr>
          <w:rFonts w:hint="eastAsia"/>
        </w:rPr>
        <w:t>建立多层次督导考核体系</w:t>
      </w:r>
      <w:bookmarkEnd w:id="30"/>
    </w:p>
    <w:p>
      <w:pPr>
        <w:pStyle w:val="19"/>
        <w:spacing w:before="156" w:after="156"/>
        <w:rPr>
          <w:rFonts w:hAnsi="Times New Roman" w:cs="Times New Roman"/>
        </w:rPr>
      </w:pPr>
      <w:r>
        <w:rPr>
          <w:rFonts w:hint="eastAsia" w:ascii="黑体" w:hAnsi="黑体" w:eastAsia="黑体" w:cs="黑体"/>
        </w:rPr>
        <w:t>4.4.3.1</w:t>
      </w:r>
      <w:r>
        <w:rPr>
          <w:rFonts w:hint="eastAsia" w:hAnsi="Times New Roman" w:cs="Times New Roman"/>
        </w:rPr>
        <w:t xml:space="preserve"> </w:t>
      </w:r>
      <w:r>
        <w:rPr>
          <w:rFonts w:hAnsi="Times New Roman" w:cs="Times New Roman"/>
        </w:rPr>
        <w:t xml:space="preserve"> </w:t>
      </w:r>
      <w:r>
        <w:rPr>
          <w:rFonts w:hint="eastAsia" w:hAnsi="Times New Roman" w:cs="Times New Roman"/>
        </w:rPr>
        <w:t>市级应将区市红色物业工作纳入全市目标绩效管理年度考核指标体系，作为各级党组织书记抓基层党建述职评议年度考核</w:t>
      </w:r>
      <w:r>
        <w:rPr>
          <w:rFonts w:hint="eastAsia" w:hAnsi="Times New Roman" w:cs="Times New Roman"/>
          <w:lang w:eastAsia="zh-CN"/>
        </w:rPr>
        <w:t>重要</w:t>
      </w:r>
      <w:r>
        <w:rPr>
          <w:rFonts w:hint="eastAsia" w:hAnsi="Times New Roman" w:cs="Times New Roman"/>
        </w:rPr>
        <w:t>内容，在党建工作考核评价中给予高权重比赋分。</w:t>
      </w:r>
    </w:p>
    <w:p>
      <w:pPr>
        <w:pStyle w:val="19"/>
        <w:spacing w:before="156" w:after="156"/>
        <w:rPr>
          <w:rFonts w:hAnsi="Times New Roman" w:cs="Times New Roman"/>
        </w:rPr>
      </w:pPr>
      <w:r>
        <w:rPr>
          <w:rFonts w:hint="eastAsia" w:ascii="黑体" w:hAnsi="黑体" w:eastAsia="黑体" w:cs="黑体"/>
        </w:rPr>
        <w:t>4.4.3.2</w:t>
      </w:r>
      <w:r>
        <w:rPr>
          <w:rFonts w:ascii="黑体" w:hAnsi="黑体" w:eastAsia="黑体" w:cs="黑体"/>
        </w:rPr>
        <w:t xml:space="preserve">  </w:t>
      </w:r>
      <w:r>
        <w:rPr>
          <w:rFonts w:hint="eastAsia" w:hAnsi="Times New Roman" w:cs="Times New Roman"/>
        </w:rPr>
        <w:t>区市应建立完善包括住建部门、镇街党工委、社区党组织、党员居民代表共同参加的物业企业年度考核评价机制，建立主管部门季度抽查、党员居民半年测评、街道社区年度考核的闭环运行机制，党员居民测评权重占80%以上。考核结果纳入企业党组织星级评定和企业诚信评价体系。</w:t>
      </w:r>
    </w:p>
    <w:p>
      <w:pPr>
        <w:pStyle w:val="19"/>
        <w:spacing w:before="156" w:after="156"/>
        <w:rPr>
          <w:rFonts w:hAnsi="Times New Roman" w:cs="Times New Roman"/>
        </w:rPr>
      </w:pPr>
      <w:r>
        <w:rPr>
          <w:rFonts w:hint="eastAsia" w:ascii="黑体" w:hAnsi="黑体" w:eastAsia="黑体" w:cs="黑体"/>
        </w:rPr>
        <w:t xml:space="preserve">4.4.3.3  </w:t>
      </w:r>
      <w:r>
        <w:rPr>
          <w:rFonts w:hint="eastAsia" w:hAnsi="Times New Roman" w:cs="Times New Roman"/>
        </w:rPr>
        <w:t>优化小区红色物业示范项目考核评价办法，推动红色物业示范项目动态化星级管理，引领红色物业示范小区、示范项目建设。</w:t>
      </w:r>
    </w:p>
    <w:p>
      <w:pPr>
        <w:pStyle w:val="19"/>
        <w:spacing w:before="156" w:after="156"/>
        <w:rPr>
          <w:rFonts w:hAnsi="Times New Roman" w:cs="Times New Roman"/>
        </w:rPr>
      </w:pPr>
      <w:r>
        <w:rPr>
          <w:rFonts w:hint="eastAsia" w:ascii="黑体" w:hAnsi="黑体" w:eastAsia="黑体" w:cs="黑体"/>
        </w:rPr>
        <w:t>4.4.3.4</w:t>
      </w:r>
      <w:r>
        <w:rPr>
          <w:rFonts w:ascii="黑体" w:hAnsi="黑体" w:eastAsia="黑体" w:cs="黑体"/>
        </w:rPr>
        <w:t xml:space="preserve">  </w:t>
      </w:r>
      <w:r>
        <w:rPr>
          <w:rFonts w:hint="eastAsia" w:hAnsi="Times New Roman" w:cs="Times New Roman"/>
        </w:rPr>
        <w:t>市、区市党建领导小组、红色物业联席会议成员单位等，应对辖区内红色物业工作定期组织督导调研、工作调度和现场观摩，并将日常督导调度情况纳入年度考核中。</w:t>
      </w:r>
    </w:p>
    <w:p>
      <w:pPr>
        <w:pStyle w:val="14"/>
        <w:spacing w:before="312" w:after="312"/>
        <w:rPr>
          <w:szCs w:val="21"/>
        </w:rPr>
      </w:pPr>
      <w:bookmarkStart w:id="31" w:name="_Toc27890"/>
      <w:r>
        <w:rPr>
          <w:rFonts w:hint="eastAsia"/>
          <w:szCs w:val="21"/>
        </w:rPr>
        <w:t>融合共治</w:t>
      </w:r>
      <w:bookmarkEnd w:id="31"/>
    </w:p>
    <w:p>
      <w:pPr>
        <w:pStyle w:val="16"/>
        <w:numPr>
          <w:ilvl w:val="1"/>
          <w:numId w:val="0"/>
        </w:numPr>
        <w:spacing w:before="156" w:after="156"/>
      </w:pPr>
      <w:bookmarkStart w:id="32" w:name="_Hlk71229554"/>
      <w:bookmarkStart w:id="33" w:name="_Toc18605"/>
      <w:r>
        <w:rPr>
          <w:rFonts w:hint="eastAsia"/>
          <w:lang w:val="en-US" w:eastAsia="zh-CN"/>
        </w:rPr>
        <w:t xml:space="preserve">5.1  </w:t>
      </w:r>
      <w:r>
        <w:rPr>
          <w:rFonts w:hint="eastAsia"/>
        </w:rPr>
        <w:t>基层导向</w:t>
      </w:r>
      <w:bookmarkEnd w:id="32"/>
      <w:bookmarkEnd w:id="33"/>
    </w:p>
    <w:p>
      <w:pPr>
        <w:pStyle w:val="18"/>
        <w:spacing w:before="156" w:after="156"/>
        <w:ind w:left="567" w:hanging="567" w:hangingChars="270"/>
        <w:rPr>
          <w:rFonts w:ascii="宋体" w:hAnsi="宋体" w:eastAsia="宋体" w:cs="Times New Roman"/>
        </w:rPr>
      </w:pPr>
      <w:bookmarkStart w:id="34" w:name="_Toc12394"/>
      <w:r>
        <w:rPr>
          <w:rFonts w:hint="eastAsia" w:hAnsi="黑体" w:cs="黑体"/>
        </w:rPr>
        <w:t>5.1.1</w:t>
      </w:r>
      <w:r>
        <w:rPr>
          <w:rFonts w:hAnsi="黑体" w:cs="黑体"/>
        </w:rPr>
        <w:t xml:space="preserve">  </w:t>
      </w:r>
      <w:r>
        <w:rPr>
          <w:rFonts w:hint="eastAsia"/>
        </w:rPr>
        <w:t>一线发现问题</w:t>
      </w:r>
      <w:bookmarkEnd w:id="34"/>
    </w:p>
    <w:p>
      <w:pPr>
        <w:pStyle w:val="19"/>
        <w:spacing w:before="156" w:after="156"/>
        <w:ind w:firstLine="420" w:firstLineChars="200"/>
        <w:rPr>
          <w:rFonts w:hAnsi="Times New Roman" w:cs="Times New Roman"/>
        </w:rPr>
      </w:pPr>
      <w:r>
        <w:rPr>
          <w:rFonts w:hint="eastAsia" w:hAnsi="Times New Roman" w:cs="Times New Roman"/>
        </w:rPr>
        <w:t>市、区市物业主管部门应每年组织机关干部深入基层、下沉一线，开展走访摸排活动，形成走访—回访—排查—整改的常态化工作机制。建立社区物业风险评估预警机制，凡小区风险隐患达到三级以上，自动列为走访、回访重点小区，由区市组织、住建、城管执法、镇街等共同参与问题摸排，共同制定解决方案。</w:t>
      </w:r>
    </w:p>
    <w:p>
      <w:pPr>
        <w:pStyle w:val="18"/>
        <w:spacing w:before="156" w:after="156"/>
        <w:ind w:left="567" w:hanging="567" w:hangingChars="270"/>
        <w:rPr>
          <w:rFonts w:ascii="宋体" w:hAnsi="宋体" w:eastAsia="宋体" w:cs="Times New Roman"/>
        </w:rPr>
      </w:pPr>
      <w:bookmarkStart w:id="35" w:name="_Toc19160"/>
      <w:r>
        <w:rPr>
          <w:rFonts w:hint="eastAsia" w:hAnsi="黑体" w:cs="黑体"/>
        </w:rPr>
        <w:t>5.1.2</w:t>
      </w:r>
      <w:r>
        <w:rPr>
          <w:rFonts w:hAnsi="黑体" w:cs="黑体"/>
        </w:rPr>
        <w:t xml:space="preserve">  </w:t>
      </w:r>
      <w:r>
        <w:rPr>
          <w:rFonts w:hint="eastAsia"/>
        </w:rPr>
        <w:t>面对面收集问题</w:t>
      </w:r>
      <w:bookmarkEnd w:id="35"/>
    </w:p>
    <w:p>
      <w:pPr>
        <w:pStyle w:val="19"/>
        <w:spacing w:before="156" w:after="156"/>
        <w:ind w:firstLine="420" w:firstLineChars="200"/>
        <w:rPr>
          <w:rFonts w:hAnsi="Times New Roman" w:cs="Times New Roman"/>
        </w:rPr>
      </w:pPr>
      <w:r>
        <w:rPr>
          <w:rFonts w:hint="eastAsia" w:hAnsi="Times New Roman" w:cs="Times New Roman"/>
        </w:rPr>
        <w:t>街道社区党组织、物业服务企业与居民建立定期协商沟通制度，建设社区、网格（小区）“红盟议事厅”、“居民说事群”、“网格说事岗”等居民议事场所，推选一批热心服务居民群众、具备一定物业管理和法律知识的居民代表，面对面讨论问题，了解群众呼声。</w:t>
      </w:r>
    </w:p>
    <w:p>
      <w:pPr>
        <w:pStyle w:val="18"/>
        <w:spacing w:before="156" w:after="156"/>
        <w:ind w:left="567" w:hanging="567" w:hangingChars="270"/>
        <w:rPr>
          <w:rFonts w:ascii="宋体" w:hAnsi="宋体" w:eastAsia="宋体" w:cs="Times New Roman"/>
        </w:rPr>
      </w:pPr>
      <w:bookmarkStart w:id="36" w:name="_Toc27506"/>
      <w:r>
        <w:rPr>
          <w:rFonts w:hint="eastAsia" w:hAnsi="黑体" w:cs="黑体"/>
        </w:rPr>
        <w:t>5.1.3</w:t>
      </w:r>
      <w:r>
        <w:rPr>
          <w:rFonts w:hAnsi="黑体" w:cs="黑体"/>
        </w:rPr>
        <w:t xml:space="preserve">  </w:t>
      </w:r>
      <w:r>
        <w:rPr>
          <w:rFonts w:hint="eastAsia"/>
        </w:rPr>
        <w:t>常态化收集问题</w:t>
      </w:r>
      <w:bookmarkEnd w:id="36"/>
    </w:p>
    <w:p>
      <w:pPr>
        <w:pStyle w:val="19"/>
        <w:spacing w:before="156" w:after="156"/>
        <w:ind w:firstLine="420" w:firstLineChars="200"/>
        <w:rPr>
          <w:rFonts w:hAnsi="Times New Roman" w:cs="Times New Roman"/>
        </w:rPr>
      </w:pPr>
      <w:r>
        <w:rPr>
          <w:rFonts w:hint="eastAsia"/>
        </w:rPr>
        <w:t>在电视台开设“聚焦物业你呼我应”栏目，市、区市物业主管部门每周一到周三上线“问政物业”直播互动。</w:t>
      </w:r>
    </w:p>
    <w:p>
      <w:pPr>
        <w:pStyle w:val="18"/>
        <w:spacing w:before="156" w:after="156"/>
        <w:ind w:left="567" w:hanging="567" w:hangingChars="270"/>
      </w:pPr>
      <w:bookmarkStart w:id="37" w:name="_Toc32587"/>
      <w:r>
        <w:rPr>
          <w:rFonts w:hint="eastAsia" w:hAnsi="黑体" w:cs="黑体"/>
        </w:rPr>
        <w:t>5.1.4</w:t>
      </w:r>
      <w:r>
        <w:rPr>
          <w:rFonts w:hAnsi="黑体" w:cs="黑体"/>
        </w:rPr>
        <w:t xml:space="preserve">  </w:t>
      </w:r>
      <w:r>
        <w:rPr>
          <w:rFonts w:hint="eastAsia"/>
        </w:rPr>
        <w:t>畅通问题反映渠道</w:t>
      </w:r>
      <w:bookmarkEnd w:id="37"/>
    </w:p>
    <w:p>
      <w:pPr>
        <w:pStyle w:val="19"/>
        <w:spacing w:before="156" w:after="156"/>
        <w:ind w:firstLine="420" w:firstLineChars="200"/>
        <w:rPr>
          <w:rFonts w:hAnsi="Times New Roman" w:cs="Times New Roman"/>
        </w:rPr>
      </w:pPr>
      <w:r>
        <w:rPr>
          <w:rFonts w:hint="eastAsia" w:hAnsi="Times New Roman" w:cs="Times New Roman"/>
        </w:rPr>
        <w:t>市、区市物业主管部门应依托12345政务热线、城市管理信息平台、物业管理智慧平台，借助报纸、广播、电视等主流媒体和网站、自媒体、网络直播等新媒体渠道，采取开辟电视问政栏目、问卷调查、设置意见箱及设立网站、电子邮箱、小区微信群、QQ群、开设“爱山东”APP（威海站）“红色物业专栏”等线上线下相结合的形式，开展多层次意见收集活动。</w:t>
      </w:r>
      <w:r>
        <w:rPr>
          <w:rFonts w:hint="eastAsia" w:hAnsi="Times New Roman" w:cs="Times New Roman"/>
          <w:lang w:eastAsia="zh-CN"/>
        </w:rPr>
        <w:t>应</w:t>
      </w:r>
      <w:r>
        <w:rPr>
          <w:rFonts w:hint="eastAsia" w:hAnsi="Times New Roman" w:cs="Times New Roman"/>
        </w:rPr>
        <w:t>积极整合网格管理员、服务志愿者、“物业红管家”“社区通”小巷管家等多方面力量，动态收集社区人、房、物、事、情等相关信息，及时发现、动态掌握治安防范、安全隐患、便民服务、环境整治等事关居民切身利益的问题。</w:t>
      </w:r>
    </w:p>
    <w:p>
      <w:pPr>
        <w:pStyle w:val="18"/>
        <w:spacing w:before="156" w:after="156"/>
        <w:ind w:left="567" w:hanging="567" w:hangingChars="270"/>
      </w:pPr>
      <w:bookmarkStart w:id="38" w:name="_Toc11436"/>
      <w:r>
        <w:rPr>
          <w:rFonts w:hint="eastAsia" w:hAnsi="黑体" w:cs="黑体"/>
        </w:rPr>
        <w:t>5.1.5</w:t>
      </w:r>
      <w:r>
        <w:rPr>
          <w:rFonts w:hAnsi="黑体" w:cs="黑体"/>
        </w:rPr>
        <w:t xml:space="preserve">  </w:t>
      </w:r>
      <w:r>
        <w:rPr>
          <w:rFonts w:hint="eastAsia"/>
        </w:rPr>
        <w:t>建立问题清单和工作台账</w:t>
      </w:r>
      <w:bookmarkEnd w:id="38"/>
    </w:p>
    <w:p>
      <w:pPr>
        <w:pStyle w:val="19"/>
        <w:spacing w:before="156" w:after="156"/>
        <w:ind w:firstLine="420" w:firstLineChars="200"/>
        <w:rPr>
          <w:rFonts w:hAnsi="Times New Roman" w:cs="Times New Roman"/>
        </w:rPr>
      </w:pPr>
      <w:r>
        <w:rPr>
          <w:rFonts w:hint="eastAsia" w:hAnsi="Times New Roman" w:cs="Times New Roman"/>
        </w:rPr>
        <w:t>对从各种渠道摸排、收集、投诉的物业问题均应建立问题清单与工作台账。</w:t>
      </w:r>
    </w:p>
    <w:p>
      <w:pPr>
        <w:pStyle w:val="16"/>
        <w:numPr>
          <w:ilvl w:val="1"/>
          <w:numId w:val="0"/>
        </w:numPr>
        <w:spacing w:before="156" w:after="156"/>
      </w:pPr>
      <w:bookmarkStart w:id="39" w:name="_Toc652"/>
      <w:r>
        <w:rPr>
          <w:rFonts w:hint="eastAsia"/>
          <w:lang w:val="en-US" w:eastAsia="zh-CN"/>
        </w:rPr>
        <w:t xml:space="preserve">5.2  </w:t>
      </w:r>
      <w:r>
        <w:rPr>
          <w:rFonts w:hint="eastAsia"/>
        </w:rPr>
        <w:t>共建联建</w:t>
      </w:r>
      <w:bookmarkEnd w:id="39"/>
    </w:p>
    <w:p>
      <w:pPr>
        <w:pStyle w:val="18"/>
        <w:spacing w:before="156" w:after="156"/>
        <w:ind w:left="567" w:hanging="567" w:hangingChars="270"/>
        <w:rPr>
          <w:rFonts w:ascii="宋体" w:hAnsi="宋体" w:eastAsia="宋体" w:cs="Times New Roman"/>
        </w:rPr>
      </w:pPr>
      <w:bookmarkStart w:id="40" w:name="_Toc27733"/>
      <w:r>
        <w:rPr>
          <w:rFonts w:hint="eastAsia" w:hAnsi="黑体" w:cs="黑体"/>
        </w:rPr>
        <w:t>5.2.1</w:t>
      </w:r>
      <w:r>
        <w:rPr>
          <w:rFonts w:hAnsi="黑体" w:cs="黑体"/>
        </w:rPr>
        <w:t xml:space="preserve">  </w:t>
      </w:r>
      <w:r>
        <w:rPr>
          <w:rFonts w:hint="eastAsia"/>
        </w:rPr>
        <w:t>党建共同体</w:t>
      </w:r>
      <w:bookmarkEnd w:id="40"/>
      <w:r>
        <w:rPr>
          <w:rFonts w:hint="eastAsia"/>
        </w:rPr>
        <w:t>建设</w:t>
      </w:r>
    </w:p>
    <w:p>
      <w:pPr>
        <w:pStyle w:val="19"/>
        <w:spacing w:before="156" w:after="156"/>
        <w:ind w:firstLine="420" w:firstLineChars="200"/>
        <w:rPr>
          <w:rFonts w:hAnsi="Times New Roman" w:cs="Times New Roman"/>
        </w:rPr>
      </w:pPr>
      <w:r>
        <w:rPr>
          <w:rFonts w:hint="eastAsia" w:hAnsi="Times New Roman" w:cs="Times New Roman"/>
        </w:rPr>
        <w:t>建立健全社区、网格（小区）党组织与业主委员会党组织、物业企业党组织交叉任职的党建机制。镇街社区党组织推荐符合条件的社区“两委”成员、网格党支部书记、党员干部、党员业主参加业主委员会选举，通过相关程序进入业主委员会，有条件的可兼任业主委员会主任。健全社区、网格（小区）党组织兼职委员制度，吸纳符合条件的业主委员会成员、物业服务企业负责人担任社区“两委”兼职委员，负责日常沟通联系和问题协调。推行驻区单位党组织到社区报到，在职党员到所在社区报到“双报到”，把红色物业作为共建内容。</w:t>
      </w:r>
    </w:p>
    <w:p>
      <w:pPr>
        <w:pStyle w:val="18"/>
        <w:spacing w:before="156" w:after="156"/>
        <w:ind w:left="567" w:hanging="567" w:hangingChars="270"/>
        <w:rPr>
          <w:rFonts w:ascii="宋体" w:hAnsi="宋体" w:eastAsia="宋体" w:cs="Times New Roman"/>
        </w:rPr>
      </w:pPr>
      <w:bookmarkStart w:id="41" w:name="_Hlk71986086"/>
      <w:bookmarkStart w:id="42" w:name="_Toc7280"/>
      <w:r>
        <w:rPr>
          <w:rFonts w:hint="eastAsia" w:hAnsi="黑体" w:cs="黑体"/>
        </w:rPr>
        <w:t>5.2.2</w:t>
      </w:r>
      <w:r>
        <w:rPr>
          <w:rFonts w:hAnsi="黑体" w:cs="黑体"/>
        </w:rPr>
        <w:t xml:space="preserve">  </w:t>
      </w:r>
      <w:r>
        <w:rPr>
          <w:rFonts w:hint="eastAsia"/>
        </w:rPr>
        <w:t>党建联建</w:t>
      </w:r>
      <w:bookmarkEnd w:id="41"/>
      <w:bookmarkEnd w:id="42"/>
    </w:p>
    <w:p>
      <w:pPr>
        <w:pStyle w:val="19"/>
        <w:spacing w:before="156" w:after="156"/>
        <w:rPr>
          <w:rFonts w:hAnsi="Times New Roman" w:cs="Times New Roman"/>
        </w:rPr>
      </w:pPr>
      <w:r>
        <w:rPr>
          <w:rFonts w:hint="eastAsia" w:ascii="黑体" w:hAnsi="黑体" w:eastAsia="黑体" w:cs="黑体"/>
        </w:rPr>
        <w:t>5.2.2.1</w:t>
      </w:r>
      <w:r>
        <w:rPr>
          <w:rFonts w:ascii="黑体" w:hAnsi="黑体" w:eastAsia="黑体" w:cs="黑体"/>
        </w:rPr>
        <w:t xml:space="preserve">  </w:t>
      </w:r>
      <w:r>
        <w:rPr>
          <w:rFonts w:hint="eastAsia" w:hAnsi="Times New Roman" w:cs="Times New Roman"/>
        </w:rPr>
        <w:t>社区、网格（小区）党组织在小区红色物业党建工作中牵头抓总、组织推动。推行社区党组织开放式组织生活，吸收业主委员会党组织、物业服务企业党组织等参加，实现组织联建、党课联上、活动联办、工作联抓。</w:t>
      </w:r>
    </w:p>
    <w:p>
      <w:pPr>
        <w:pStyle w:val="19"/>
        <w:spacing w:before="156" w:after="156"/>
        <w:rPr>
          <w:rFonts w:hAnsi="Times New Roman" w:cs="Times New Roman"/>
        </w:rPr>
      </w:pPr>
      <w:r>
        <w:rPr>
          <w:rFonts w:hint="eastAsia" w:ascii="黑体" w:hAnsi="黑体" w:eastAsia="黑体" w:cs="黑体"/>
        </w:rPr>
        <w:t>5.2.2.2</w:t>
      </w:r>
      <w:r>
        <w:rPr>
          <w:rFonts w:ascii="黑体" w:hAnsi="黑体" w:eastAsia="黑体" w:cs="黑体"/>
        </w:rPr>
        <w:t xml:space="preserve">  </w:t>
      </w:r>
      <w:r>
        <w:rPr>
          <w:rFonts w:hint="eastAsia" w:hAnsi="Times New Roman" w:cs="Times New Roman"/>
        </w:rPr>
        <w:t>鼓励物业企业党组织、业主委员会党组织与社区、网格（小区）党组织签订党建联建协议或结成联建对子，认领、参与社区党组织党建服务项目，每年认领项目不少于2个。</w:t>
      </w:r>
    </w:p>
    <w:p>
      <w:pPr>
        <w:pStyle w:val="18"/>
        <w:spacing w:before="156" w:after="156"/>
        <w:rPr>
          <w:rFonts w:ascii="宋体" w:hAnsi="宋体" w:eastAsia="宋体" w:cs="Times New Roman"/>
        </w:rPr>
      </w:pPr>
      <w:bookmarkStart w:id="43" w:name="_Toc29866"/>
      <w:r>
        <w:rPr>
          <w:rFonts w:hint="eastAsia" w:hAnsi="黑体" w:cs="黑体"/>
        </w:rPr>
        <w:t>5.2.3</w:t>
      </w:r>
      <w:r>
        <w:rPr>
          <w:rFonts w:hAnsi="黑体" w:cs="黑体"/>
        </w:rPr>
        <w:t xml:space="preserve">  </w:t>
      </w:r>
      <w:r>
        <w:rPr>
          <w:rFonts w:hint="eastAsia"/>
        </w:rPr>
        <w:t>红色物业协商共治平台</w:t>
      </w:r>
      <w:bookmarkEnd w:id="43"/>
    </w:p>
    <w:p>
      <w:pPr>
        <w:pStyle w:val="19"/>
        <w:spacing w:before="156" w:after="156"/>
        <w:ind w:firstLine="420" w:firstLineChars="200"/>
        <w:rPr>
          <w:rFonts w:hAnsi="Times New Roman" w:cs="Times New Roman"/>
        </w:rPr>
      </w:pPr>
      <w:r>
        <w:rPr>
          <w:rFonts w:hint="eastAsia" w:hAnsi="Times New Roman" w:cs="Times New Roman"/>
        </w:rPr>
        <w:t>镇街、社区党组织应依托红色物业“党建联盟”和“红色物业联席会议”两大平台，完善创新协商议事、合力共治工作机制。</w:t>
      </w:r>
    </w:p>
    <w:p>
      <w:pPr>
        <w:pStyle w:val="19"/>
        <w:spacing w:before="156" w:after="156"/>
        <w:ind w:firstLine="420" w:firstLineChars="200"/>
        <w:rPr>
          <w:rFonts w:hAnsi="Times New Roman" w:cs="Times New Roman"/>
        </w:rPr>
      </w:pPr>
      <w:r>
        <w:rPr>
          <w:rFonts w:hint="eastAsia" w:hAnsi="Times New Roman" w:cs="Times New Roman"/>
        </w:rPr>
        <w:t>——镇街党工委</w:t>
      </w:r>
      <w:r>
        <w:rPr>
          <w:rFonts w:hint="eastAsia" w:hAnsi="Times New Roman" w:cs="Times New Roman"/>
          <w:lang w:eastAsia="zh-CN"/>
        </w:rPr>
        <w:t>应</w:t>
      </w:r>
      <w:r>
        <w:rPr>
          <w:rFonts w:hint="eastAsia" w:hAnsi="Times New Roman" w:cs="Times New Roman"/>
        </w:rPr>
        <w:t>推动红色物业“党建联盟”议事协商制度化、规范化、常态化，由镇街党组织</w:t>
      </w:r>
      <w:r>
        <w:rPr>
          <w:rFonts w:hint="eastAsia" w:hAnsi="Times New Roman" w:cs="Times New Roman"/>
          <w:lang w:eastAsia="zh-CN"/>
        </w:rPr>
        <w:t>主要</w:t>
      </w:r>
      <w:r>
        <w:rPr>
          <w:rFonts w:hint="eastAsia" w:hAnsi="Times New Roman" w:cs="Times New Roman"/>
        </w:rPr>
        <w:t>负责人担任党建联盟总召集人，定期组织居委会、业主委员会、物业服务企业、驻区单位、相关部门等共同解决物业问题，对群众反映集中的问题，应举一反三，开展专项整治行动。</w:t>
      </w:r>
    </w:p>
    <w:p>
      <w:pPr>
        <w:pStyle w:val="19"/>
        <w:spacing w:before="156" w:after="156"/>
        <w:ind w:firstLine="420" w:firstLineChars="200"/>
        <w:rPr>
          <w:rFonts w:hAnsi="Times New Roman" w:cs="Times New Roman"/>
        </w:rPr>
      </w:pPr>
      <w:r>
        <w:rPr>
          <w:rFonts w:hint="eastAsia" w:hAnsi="Times New Roman" w:cs="Times New Roman"/>
        </w:rPr>
        <w:t>——社区“红色物业联席会议”</w:t>
      </w:r>
      <w:r>
        <w:rPr>
          <w:rFonts w:hint="eastAsia" w:hAnsi="Times New Roman" w:cs="Times New Roman"/>
          <w:lang w:eastAsia="zh-CN"/>
        </w:rPr>
        <w:t>应</w:t>
      </w:r>
      <w:r>
        <w:rPr>
          <w:rFonts w:hint="eastAsia" w:hAnsi="Times New Roman" w:cs="Times New Roman"/>
        </w:rPr>
        <w:t>逐步向网格（小区）下沉，有条件的网格（小区）可通过设立“红盟议事厅”、“网格红枢纽”等空间，将社区党组织领导下的网格（小区）、业主委员会、物业企业党组织协同联动机制实体化、平台化。</w:t>
      </w:r>
    </w:p>
    <w:p>
      <w:pPr>
        <w:pStyle w:val="19"/>
        <w:spacing w:before="156" w:after="156"/>
        <w:ind w:firstLine="420" w:firstLineChars="200"/>
        <w:rPr>
          <w:rFonts w:hAnsi="Times New Roman" w:cs="Times New Roman"/>
        </w:rPr>
      </w:pPr>
      <w:r>
        <w:rPr>
          <w:rFonts w:hint="eastAsia" w:hAnsi="Times New Roman" w:cs="Times New Roman"/>
        </w:rPr>
        <w:t>——暂不具备条件的也</w:t>
      </w:r>
      <w:r>
        <w:rPr>
          <w:rFonts w:hint="eastAsia" w:hAnsi="Times New Roman" w:cs="Times New Roman"/>
          <w:lang w:eastAsia="zh-CN"/>
        </w:rPr>
        <w:t>应</w:t>
      </w:r>
      <w:r>
        <w:rPr>
          <w:rFonts w:hint="eastAsia" w:hAnsi="Times New Roman" w:cs="Times New Roman"/>
        </w:rPr>
        <w:t>健全相关议事方法和议事流程，通过联席会、恳谈会、调解会、现场会等方式，定期组织各方协商小区物业服务问题，就地化解管理矛盾纠纷。</w:t>
      </w:r>
    </w:p>
    <w:p>
      <w:pPr>
        <w:pStyle w:val="16"/>
        <w:numPr>
          <w:ilvl w:val="1"/>
          <w:numId w:val="0"/>
        </w:numPr>
        <w:spacing w:before="156" w:after="156"/>
      </w:pPr>
      <w:bookmarkStart w:id="44" w:name="_Toc24464"/>
      <w:r>
        <w:rPr>
          <w:rFonts w:hint="eastAsia"/>
          <w:lang w:val="en-US" w:eastAsia="zh-CN"/>
        </w:rPr>
        <w:t xml:space="preserve">5.3  </w:t>
      </w:r>
      <w:r>
        <w:rPr>
          <w:rFonts w:hint="eastAsia"/>
        </w:rPr>
        <w:t>社会协同</w:t>
      </w:r>
      <w:bookmarkEnd w:id="44"/>
    </w:p>
    <w:p>
      <w:pPr>
        <w:pStyle w:val="18"/>
        <w:spacing w:before="156" w:after="156"/>
        <w:ind w:left="567" w:hanging="567" w:hangingChars="270"/>
        <w:rPr>
          <w:rFonts w:ascii="宋体" w:hAnsi="宋体" w:eastAsia="宋体" w:cs="Times New Roman"/>
        </w:rPr>
      </w:pPr>
      <w:bookmarkStart w:id="45" w:name="_Toc31891"/>
      <w:r>
        <w:rPr>
          <w:rFonts w:hint="eastAsia" w:hAnsi="黑体" w:cs="黑体"/>
        </w:rPr>
        <w:t xml:space="preserve">5.3.1  </w:t>
      </w:r>
      <w:r>
        <w:rPr>
          <w:rFonts w:hint="eastAsia"/>
        </w:rPr>
        <w:t>“吹哨报到”机制</w:t>
      </w:r>
      <w:bookmarkEnd w:id="45"/>
    </w:p>
    <w:p>
      <w:pPr>
        <w:pStyle w:val="19"/>
        <w:spacing w:before="156" w:after="156"/>
        <w:ind w:firstLine="420" w:firstLineChars="200"/>
        <w:rPr>
          <w:rFonts w:hAnsi="Times New Roman" w:cs="Times New Roman"/>
        </w:rPr>
      </w:pPr>
      <w:r>
        <w:rPr>
          <w:rFonts w:hint="eastAsia" w:hAnsi="Times New Roman" w:cs="Times New Roman"/>
        </w:rPr>
        <w:t>镇街、社区党组织依托协商议事共治平台、网格化服务管理平台、智慧物业综合信息服务平台等，建立“居民吹哨、业委会与物业企业报到”“业委会与物业企业吹哨、社区党组织报到”“社区党组织吹哨、街道党组织与有关部门单位报到”的多层级“报到”机制，形成“民有所呼、我有所应”的工作机制。</w:t>
      </w:r>
    </w:p>
    <w:p>
      <w:pPr>
        <w:pStyle w:val="18"/>
        <w:spacing w:before="156" w:after="156"/>
        <w:ind w:left="567" w:hanging="567" w:hangingChars="270"/>
        <w:rPr>
          <w:rFonts w:ascii="宋体" w:hAnsi="宋体" w:eastAsia="宋体" w:cs="Times New Roman"/>
        </w:rPr>
      </w:pPr>
      <w:bookmarkStart w:id="46" w:name="_Toc8984"/>
      <w:r>
        <w:rPr>
          <w:rFonts w:hint="eastAsia" w:hAnsi="黑体" w:cs="黑体"/>
        </w:rPr>
        <w:t xml:space="preserve">5.3.2  </w:t>
      </w:r>
      <w:r>
        <w:rPr>
          <w:rFonts w:hint="eastAsia"/>
        </w:rPr>
        <w:t>网格（小区）、社区呼叫、分级响应、协同处置”机制</w:t>
      </w:r>
      <w:bookmarkEnd w:id="46"/>
    </w:p>
    <w:p>
      <w:pPr>
        <w:pStyle w:val="19"/>
        <w:spacing w:before="156" w:after="156"/>
        <w:ind w:firstLine="420" w:firstLineChars="200"/>
        <w:rPr>
          <w:rFonts w:hAnsi="Times New Roman" w:cs="Times New Roman"/>
        </w:rPr>
      </w:pPr>
      <w:r>
        <w:rPr>
          <w:rFonts w:hint="eastAsia" w:hAnsi="Times New Roman" w:cs="Times New Roman"/>
        </w:rPr>
        <w:t>镇街党组织</w:t>
      </w:r>
      <w:r>
        <w:rPr>
          <w:rFonts w:hint="eastAsia" w:hAnsi="Times New Roman" w:cs="Times New Roman"/>
          <w:lang w:eastAsia="zh-CN"/>
        </w:rPr>
        <w:t>应</w:t>
      </w:r>
      <w:r>
        <w:rPr>
          <w:rFonts w:hint="eastAsia" w:hAnsi="Times New Roman" w:cs="Times New Roman"/>
        </w:rPr>
        <w:t>推动“街呼区应、上下联动”工作机制向社区、网格（小区）延伸，形成全链条的居民诉求反映和解决通道。对小区反映和发现的物业问题和事项，由社区、网格（小区）党组织统筹力量解决；对社区解决不了的事项，及时上报各相关平台，向街道、区市及时流转、交办，相关责任单位限时办理，办理结果作为对各部门年度考核的</w:t>
      </w:r>
      <w:r>
        <w:rPr>
          <w:rFonts w:hint="eastAsia" w:hAnsi="Times New Roman" w:cs="Times New Roman"/>
          <w:lang w:eastAsia="zh-CN"/>
        </w:rPr>
        <w:t>重要</w:t>
      </w:r>
      <w:r>
        <w:rPr>
          <w:rFonts w:hint="eastAsia" w:hAnsi="Times New Roman" w:cs="Times New Roman"/>
        </w:rPr>
        <w:t>内容。健全完善物业领域重大突发事件应急处置机制，对社区呼叫的重大紧急事项，即时响应、力量下沉、协同联动处置。</w:t>
      </w:r>
    </w:p>
    <w:p>
      <w:pPr>
        <w:pStyle w:val="18"/>
        <w:spacing w:before="156" w:after="156"/>
        <w:ind w:left="567" w:hanging="567" w:hangingChars="270"/>
        <w:rPr>
          <w:rFonts w:ascii="宋体" w:hAnsi="宋体" w:eastAsia="宋体" w:cs="Times New Roman"/>
        </w:rPr>
      </w:pPr>
      <w:bookmarkStart w:id="47" w:name="_Toc13007"/>
      <w:r>
        <w:rPr>
          <w:rFonts w:hint="eastAsia" w:hAnsi="黑体" w:cs="黑体"/>
        </w:rPr>
        <w:t xml:space="preserve">5.3.3  </w:t>
      </w:r>
      <w:r>
        <w:rPr>
          <w:rFonts w:hint="eastAsia"/>
        </w:rPr>
        <w:t>红色物业与网格化治理融合机制</w:t>
      </w:r>
      <w:bookmarkEnd w:id="47"/>
    </w:p>
    <w:p>
      <w:pPr>
        <w:pStyle w:val="19"/>
        <w:spacing w:before="156" w:after="156"/>
        <w:ind w:firstLine="420" w:firstLineChars="200"/>
        <w:rPr>
          <w:rFonts w:hAnsi="Times New Roman" w:cs="Times New Roman"/>
        </w:rPr>
      </w:pPr>
      <w:r>
        <w:rPr>
          <w:rFonts w:hint="eastAsia" w:hAnsi="Times New Roman" w:cs="Times New Roman"/>
        </w:rPr>
        <w:t>在有条件的红色物业服务阵地建设“网格红枢纽”、“网格法庭”等载体，开展警官、法官、检察官、律师、基层法律服务工作者法律进社区、进网格（小区）活动，为红色物业提供法律支持。</w:t>
      </w:r>
    </w:p>
    <w:p>
      <w:pPr>
        <w:pStyle w:val="18"/>
        <w:spacing w:before="156" w:after="156"/>
        <w:ind w:left="567" w:hanging="567" w:hangingChars="270"/>
        <w:rPr>
          <w:rFonts w:ascii="宋体" w:hAnsi="宋体" w:eastAsia="宋体" w:cs="Times New Roman"/>
        </w:rPr>
      </w:pPr>
      <w:bookmarkStart w:id="48" w:name="_Toc17929"/>
      <w:r>
        <w:rPr>
          <w:rFonts w:hint="eastAsia" w:hAnsi="黑体" w:cs="黑体"/>
        </w:rPr>
        <w:t xml:space="preserve">5.3.4  </w:t>
      </w:r>
      <w:r>
        <w:rPr>
          <w:rFonts w:hint="eastAsia"/>
        </w:rPr>
        <w:t>“物业＋执法＋服务”综合管理机制</w:t>
      </w:r>
      <w:bookmarkEnd w:id="48"/>
    </w:p>
    <w:p>
      <w:pPr>
        <w:pStyle w:val="19"/>
        <w:spacing w:before="156" w:after="156"/>
        <w:ind w:firstLine="420" w:firstLineChars="200"/>
        <w:rPr>
          <w:rFonts w:hAnsi="Times New Roman" w:cs="Times New Roman"/>
        </w:rPr>
      </w:pPr>
      <w:r>
        <w:rPr>
          <w:rFonts w:hint="eastAsia" w:hAnsi="Times New Roman" w:cs="Times New Roman"/>
        </w:rPr>
        <w:t>物业主管部门、城管执法部门及公安、民政、人社、市场监管、财政、大数据管理等部门应定期开展横向联动执法工作，市、区市红色物业联席会议应统筹调度、综合协调、优化服务。</w:t>
      </w:r>
    </w:p>
    <w:p>
      <w:pPr>
        <w:pStyle w:val="18"/>
        <w:spacing w:before="156" w:after="156"/>
        <w:ind w:left="567" w:hanging="567" w:hangingChars="270"/>
      </w:pPr>
      <w:bookmarkStart w:id="49" w:name="_Toc8364"/>
      <w:r>
        <w:rPr>
          <w:rFonts w:hint="eastAsia" w:hAnsi="黑体" w:cs="黑体"/>
        </w:rPr>
        <w:t xml:space="preserve">5.3.5  </w:t>
      </w:r>
      <w:r>
        <w:rPr>
          <w:rFonts w:hint="eastAsia"/>
        </w:rPr>
        <w:t>社会力量协同参与机制</w:t>
      </w:r>
      <w:bookmarkEnd w:id="49"/>
    </w:p>
    <w:p>
      <w:pPr>
        <w:pStyle w:val="19"/>
        <w:spacing w:before="156" w:after="156"/>
        <w:ind w:firstLine="420" w:firstLineChars="200"/>
        <w:rPr>
          <w:rFonts w:hAnsi="Times New Roman" w:cs="Times New Roman"/>
        </w:rPr>
      </w:pPr>
      <w:r>
        <w:rPr>
          <w:rFonts w:hint="eastAsia" w:hAnsi="Times New Roman" w:cs="Times New Roman"/>
        </w:rPr>
        <w:t>区市党委、镇街社区党组织可结合网格（小区）治理</w:t>
      </w:r>
      <w:r>
        <w:rPr>
          <w:rFonts w:hint="eastAsia" w:hAnsi="Times New Roman" w:cs="Times New Roman"/>
          <w:lang w:eastAsia="zh-CN"/>
        </w:rPr>
        <w:t>需要</w:t>
      </w:r>
      <w:r>
        <w:rPr>
          <w:rFonts w:hint="eastAsia" w:hAnsi="Times New Roman" w:cs="Times New Roman"/>
        </w:rPr>
        <w:t>和居民多层次多样化需求，通过政府购买服务、公益创投等市场化方式，有序收纳各类市场主体、社会力量、公益组织作为“红色物业合伙人”，以资金、产品、专业服务等参与红色物业工作。</w:t>
      </w:r>
    </w:p>
    <w:p>
      <w:pPr>
        <w:pStyle w:val="18"/>
        <w:spacing w:before="156" w:after="156"/>
        <w:ind w:left="567" w:hanging="567" w:hangingChars="270"/>
        <w:rPr>
          <w:rFonts w:ascii="宋体" w:hAnsi="宋体" w:eastAsia="宋体" w:cs="Times New Roman"/>
        </w:rPr>
      </w:pPr>
      <w:bookmarkStart w:id="50" w:name="_Toc388"/>
      <w:r>
        <w:rPr>
          <w:rFonts w:hint="eastAsia" w:hAnsi="黑体" w:cs="黑体"/>
        </w:rPr>
        <w:t xml:space="preserve">5.3.6  </w:t>
      </w:r>
      <w:r>
        <w:rPr>
          <w:rFonts w:hint="eastAsia"/>
        </w:rPr>
        <w:t>多元化物业志愿服务机制</w:t>
      </w:r>
      <w:bookmarkEnd w:id="50"/>
    </w:p>
    <w:p>
      <w:pPr>
        <w:pStyle w:val="19"/>
        <w:spacing w:before="156" w:after="156"/>
        <w:rPr>
          <w:rFonts w:hAnsi="Times New Roman" w:cs="Times New Roman"/>
        </w:rPr>
      </w:pPr>
      <w:r>
        <w:rPr>
          <w:rFonts w:hint="eastAsia" w:ascii="黑体" w:hAnsi="黑体" w:eastAsia="黑体" w:cs="黑体"/>
        </w:rPr>
        <w:t xml:space="preserve">5.3.6.1  </w:t>
      </w:r>
      <w:r>
        <w:rPr>
          <w:rFonts w:hint="eastAsia" w:hAnsi="Times New Roman" w:cs="Times New Roman"/>
        </w:rPr>
        <w:t>培育以机关事业单位党员、物业企业党员、社区在职或离退休党员等为骨干、以青年志愿者和民间志愿服务力量为补充的多元化志愿服务队伍。</w:t>
      </w:r>
    </w:p>
    <w:p>
      <w:pPr>
        <w:pStyle w:val="19"/>
        <w:spacing w:before="156" w:after="156"/>
        <w:rPr>
          <w:rFonts w:hAnsi="Times New Roman" w:cs="Times New Roman"/>
        </w:rPr>
      </w:pPr>
      <w:r>
        <w:rPr>
          <w:rFonts w:hint="eastAsia" w:ascii="黑体" w:hAnsi="黑体" w:eastAsia="黑体" w:cs="黑体"/>
        </w:rPr>
        <w:t xml:space="preserve">5.3.6.2  </w:t>
      </w:r>
      <w:r>
        <w:rPr>
          <w:rFonts w:hint="eastAsia" w:hAnsi="Times New Roman" w:cs="Times New Roman"/>
        </w:rPr>
        <w:t>打造红色物业志愿服务阵地。在红色物业党建基地、服务中心、社区红色物业服务驿站等空间，建设红色物业志愿者U站、青年志愿者服务站等场所，实行联合建设、共同管理、共同使用。在威海市志愿者服务平台创建红色物业志愿板块。</w:t>
      </w:r>
    </w:p>
    <w:p>
      <w:pPr>
        <w:pStyle w:val="19"/>
        <w:spacing w:before="156" w:after="156"/>
        <w:rPr>
          <w:rFonts w:hAnsi="Times New Roman" w:cs="Times New Roman"/>
        </w:rPr>
      </w:pPr>
      <w:r>
        <w:rPr>
          <w:rFonts w:hint="eastAsia" w:ascii="黑体" w:hAnsi="黑体" w:eastAsia="黑体" w:cs="黑体"/>
        </w:rPr>
        <w:t>5.3.6.3</w:t>
      </w:r>
      <w:r>
        <w:rPr>
          <w:rFonts w:ascii="黑体" w:hAnsi="黑体" w:eastAsia="黑体" w:cs="黑体"/>
        </w:rPr>
        <w:t xml:space="preserve">  </w:t>
      </w:r>
      <w:r>
        <w:rPr>
          <w:rFonts w:hint="eastAsia" w:hAnsi="Times New Roman" w:cs="Times New Roman"/>
        </w:rPr>
        <w:t>充分发挥“红色物业志愿者平台”作用。各区市</w:t>
      </w:r>
      <w:r>
        <w:rPr>
          <w:rFonts w:hint="eastAsia" w:hAnsi="Times New Roman" w:cs="Times New Roman"/>
          <w:lang w:eastAsia="zh-CN"/>
        </w:rPr>
        <w:t>应</w:t>
      </w:r>
      <w:r>
        <w:rPr>
          <w:rFonts w:hint="eastAsia" w:hAnsi="Times New Roman" w:cs="Times New Roman"/>
        </w:rPr>
        <w:t>积极参与市级物业主管部门依托全市志愿者服务平台建立的红色物业志愿者分站，通过分站的平台作用积极创建红色物业志愿者队伍，不断壮大红色物业志愿者规模。</w:t>
      </w:r>
    </w:p>
    <w:p>
      <w:pPr>
        <w:pStyle w:val="19"/>
        <w:spacing w:before="156" w:after="156"/>
        <w:rPr>
          <w:rFonts w:hAnsi="Times New Roman" w:cs="Times New Roman"/>
        </w:rPr>
      </w:pPr>
      <w:r>
        <w:rPr>
          <w:rFonts w:hint="eastAsia" w:ascii="黑体" w:hAnsi="黑体" w:eastAsia="黑体" w:cs="黑体"/>
        </w:rPr>
        <w:t>5.3.6.4</w:t>
      </w:r>
      <w:r>
        <w:rPr>
          <w:rFonts w:ascii="黑体" w:hAnsi="黑体" w:eastAsia="黑体" w:cs="黑体"/>
        </w:rPr>
        <w:t xml:space="preserve">  </w:t>
      </w:r>
      <w:r>
        <w:rPr>
          <w:rFonts w:hint="eastAsia" w:hAnsi="Times New Roman" w:cs="Times New Roman"/>
        </w:rPr>
        <w:t>开展红色物业志愿服务行动。打造“志愿红心汇”威海红色物业志愿服务品牌，引导驻区单位、报到单位、专业性社会组织等志愿者将物业管理作为共驻共建的</w:t>
      </w:r>
      <w:r>
        <w:rPr>
          <w:rFonts w:hint="eastAsia" w:hAnsi="Times New Roman" w:cs="Times New Roman"/>
          <w:lang w:eastAsia="zh-CN"/>
        </w:rPr>
        <w:t>重要</w:t>
      </w:r>
      <w:r>
        <w:rPr>
          <w:rFonts w:hint="eastAsia" w:hAnsi="Times New Roman" w:cs="Times New Roman"/>
        </w:rPr>
        <w:t>内容，在持续推行“初心崇善”“公益食堂”等物业行业公益行动、公益品牌的同时，加强与团委、妇联、民政等群团组织和部门的密切合作，联手开展“红色物业青年志愿”“红色物业职教志愿”等志愿公益行动。</w:t>
      </w:r>
    </w:p>
    <w:p>
      <w:pPr>
        <w:pStyle w:val="16"/>
        <w:numPr>
          <w:ilvl w:val="1"/>
          <w:numId w:val="0"/>
        </w:numPr>
        <w:spacing w:before="156" w:after="156"/>
      </w:pPr>
      <w:bookmarkStart w:id="51" w:name="_Toc17320"/>
      <w:r>
        <w:rPr>
          <w:rFonts w:hint="eastAsia"/>
          <w:lang w:val="en-US" w:eastAsia="zh-CN"/>
        </w:rPr>
        <w:t xml:space="preserve">5.4  </w:t>
      </w:r>
      <w:r>
        <w:rPr>
          <w:rFonts w:hint="eastAsia"/>
        </w:rPr>
        <w:t>居民自治</w:t>
      </w:r>
      <w:bookmarkEnd w:id="51"/>
    </w:p>
    <w:p>
      <w:pPr>
        <w:pStyle w:val="18"/>
        <w:spacing w:before="156" w:after="156"/>
        <w:ind w:left="567" w:hanging="567" w:hangingChars="270"/>
        <w:rPr>
          <w:rFonts w:ascii="宋体" w:hAnsi="宋体" w:eastAsia="宋体" w:cs="Times New Roman"/>
        </w:rPr>
      </w:pPr>
      <w:bookmarkStart w:id="52" w:name="_Toc27237"/>
      <w:r>
        <w:rPr>
          <w:rFonts w:hint="eastAsia" w:hAnsi="黑体" w:cs="黑体"/>
        </w:rPr>
        <w:t>5.4.1</w:t>
      </w:r>
      <w:r>
        <w:rPr>
          <w:rFonts w:hAnsi="黑体" w:cs="黑体"/>
        </w:rPr>
        <w:t xml:space="preserve">  </w:t>
      </w:r>
      <w:r>
        <w:rPr>
          <w:rFonts w:hint="eastAsia"/>
        </w:rPr>
        <w:t>业主委员会党组织及业主委员会</w:t>
      </w:r>
      <w:bookmarkEnd w:id="52"/>
    </w:p>
    <w:p>
      <w:pPr>
        <w:pStyle w:val="19"/>
        <w:spacing w:before="156" w:after="156"/>
        <w:rPr>
          <w:rFonts w:hAnsi="Times New Roman" w:cs="Times New Roman"/>
        </w:rPr>
      </w:pPr>
      <w:r>
        <w:rPr>
          <w:rFonts w:hint="eastAsia" w:ascii="黑体" w:hAnsi="黑体" w:eastAsia="黑体" w:cs="黑体"/>
        </w:rPr>
        <w:t>5.4.1.1</w:t>
      </w:r>
      <w:r>
        <w:rPr>
          <w:rFonts w:ascii="黑体" w:hAnsi="黑体" w:eastAsia="黑体" w:cs="黑体"/>
        </w:rPr>
        <w:t xml:space="preserve">  </w:t>
      </w:r>
      <w:r>
        <w:rPr>
          <w:rFonts w:hint="eastAsia" w:hAnsi="Times New Roman" w:cs="Times New Roman"/>
        </w:rPr>
        <w:t>业主委员会党组织</w:t>
      </w:r>
      <w:r>
        <w:rPr>
          <w:rFonts w:hint="eastAsia" w:hAnsi="Times New Roman" w:cs="Times New Roman"/>
          <w:lang w:eastAsia="zh-CN"/>
        </w:rPr>
        <w:t>应</w:t>
      </w:r>
      <w:r>
        <w:rPr>
          <w:rFonts w:hint="eastAsia" w:hAnsi="Times New Roman" w:cs="Times New Roman"/>
        </w:rPr>
        <w:t>注重发挥党员业主的带头作用，通过发放倡议书、组织签订承诺书等形式，动员业主主动按时交纳物业费，对无故拒缴物业费的业主予以公开，并纳入信用体系建设。注重从业主委员会党员中确定物业服务企业义务监督员，定期组织居民群众、驻区单位等对物业服务企业履行合同情况进行监督评价。</w:t>
      </w:r>
    </w:p>
    <w:p>
      <w:pPr>
        <w:pStyle w:val="19"/>
        <w:spacing w:before="156" w:after="156"/>
        <w:rPr>
          <w:rFonts w:hAnsi="Times New Roman" w:cs="Times New Roman"/>
        </w:rPr>
      </w:pPr>
      <w:r>
        <w:rPr>
          <w:rFonts w:hint="eastAsia" w:ascii="黑体" w:hAnsi="黑体" w:eastAsia="黑体" w:cs="黑体"/>
        </w:rPr>
        <w:t xml:space="preserve">5.4.1.2  </w:t>
      </w:r>
      <w:r>
        <w:rPr>
          <w:rFonts w:hint="eastAsia" w:hAnsi="Times New Roman" w:cs="Times New Roman"/>
        </w:rPr>
        <w:t>业主委员会按照业主大会的</w:t>
      </w:r>
      <w:r>
        <w:rPr>
          <w:rFonts w:hint="eastAsia" w:hAnsi="Times New Roman" w:cs="Times New Roman"/>
          <w:lang w:eastAsia="zh-CN"/>
        </w:rPr>
        <w:t>要求</w:t>
      </w:r>
      <w:r>
        <w:rPr>
          <w:rFonts w:hint="eastAsia" w:hAnsi="Times New Roman" w:cs="Times New Roman"/>
        </w:rPr>
        <w:t>和委托，对涉及物业服务管理的重大事项、</w:t>
      </w:r>
      <w:r>
        <w:rPr>
          <w:rFonts w:hint="eastAsia" w:hAnsi="Times New Roman" w:cs="Times New Roman"/>
          <w:lang w:eastAsia="zh-CN"/>
        </w:rPr>
        <w:t>重要</w:t>
      </w:r>
      <w:r>
        <w:rPr>
          <w:rFonts w:hint="eastAsia" w:hAnsi="Times New Roman" w:cs="Times New Roman"/>
        </w:rPr>
        <w:t>问题，组织业主参与事前、事中、事后的全过程监管，增强业主主人翁意识。</w:t>
      </w:r>
    </w:p>
    <w:p>
      <w:pPr>
        <w:pStyle w:val="18"/>
        <w:spacing w:before="156" w:after="156"/>
        <w:ind w:left="567" w:hanging="567" w:hangingChars="270"/>
        <w:rPr>
          <w:rFonts w:ascii="宋体" w:hAnsi="宋体" w:eastAsia="宋体" w:cs="Times New Roman"/>
        </w:rPr>
      </w:pPr>
      <w:bookmarkStart w:id="53" w:name="_Toc7460"/>
      <w:r>
        <w:rPr>
          <w:rFonts w:hint="eastAsia" w:hAnsi="黑体" w:cs="黑体"/>
        </w:rPr>
        <w:t xml:space="preserve">5.4.2  </w:t>
      </w:r>
      <w:r>
        <w:rPr>
          <w:rFonts w:hint="eastAsia"/>
        </w:rPr>
        <w:t>网格（小区）社群组织建设</w:t>
      </w:r>
      <w:bookmarkEnd w:id="53"/>
    </w:p>
    <w:p>
      <w:pPr>
        <w:pStyle w:val="19"/>
        <w:spacing w:before="156" w:after="156"/>
        <w:ind w:firstLine="420" w:firstLineChars="200"/>
      </w:pPr>
      <w:r>
        <w:rPr>
          <w:rFonts w:hint="eastAsia"/>
        </w:rPr>
        <w:t>鼓励社区物业企业党组织引导小区居民根据个人兴趣爱好、专业特长，成立相应的网格（小区）社群组织，一般由居民中的党员担任社群组织召集人，组织小区居民开展图书阅览、学习交流、艺术创作、文体娱乐、健康养生、亲子活动以及开展社会公益行动等活动，丰富居民群众精神文化生活，促进邻里和谐和文明创建。</w:t>
      </w:r>
    </w:p>
    <w:p>
      <w:pPr>
        <w:pStyle w:val="18"/>
        <w:spacing w:before="156" w:after="156"/>
        <w:ind w:left="567" w:hanging="567" w:hangingChars="270"/>
        <w:rPr>
          <w:rFonts w:ascii="宋体" w:hAnsi="宋体" w:eastAsia="宋体" w:cs="Times New Roman"/>
        </w:rPr>
      </w:pPr>
      <w:bookmarkStart w:id="54" w:name="_Toc1205"/>
      <w:r>
        <w:rPr>
          <w:rFonts w:hint="eastAsia" w:hAnsi="黑体" w:cs="黑体"/>
        </w:rPr>
        <w:t>5.4.3</w:t>
      </w:r>
      <w:r>
        <w:rPr>
          <w:rFonts w:hAnsi="黑体" w:cs="黑体"/>
        </w:rPr>
        <w:t xml:space="preserve">  </w:t>
      </w:r>
      <w:r>
        <w:rPr>
          <w:rFonts w:hint="eastAsia"/>
        </w:rPr>
        <w:t>居民参与社区治理</w:t>
      </w:r>
      <w:bookmarkEnd w:id="54"/>
    </w:p>
    <w:p>
      <w:pPr>
        <w:pStyle w:val="19"/>
        <w:spacing w:before="156" w:after="156"/>
        <w:ind w:firstLine="420" w:firstLineChars="200"/>
      </w:pPr>
      <w:r>
        <w:rPr>
          <w:rFonts w:hint="eastAsia"/>
        </w:rPr>
        <w:t>借助信息化手段，创新社区物业管理服务平台，建立社区事务公开、在线听证、民主协商评议、业主之声等机制，为广大居民多渠道参与小区公共事务和红色物业治理开辟更多路径。</w:t>
      </w:r>
    </w:p>
    <w:p>
      <w:pPr>
        <w:pStyle w:val="16"/>
        <w:numPr>
          <w:ilvl w:val="0"/>
          <w:numId w:val="0"/>
        </w:numPr>
        <w:spacing w:before="156" w:after="156"/>
      </w:pPr>
      <w:bookmarkStart w:id="55" w:name="_Toc12421"/>
      <w:r>
        <w:t xml:space="preserve">5.5  </w:t>
      </w:r>
      <w:r>
        <w:rPr>
          <w:rFonts w:hint="eastAsia"/>
        </w:rPr>
        <w:t>落实反馈</w:t>
      </w:r>
      <w:bookmarkEnd w:id="55"/>
    </w:p>
    <w:p>
      <w:pPr>
        <w:pStyle w:val="18"/>
        <w:spacing w:before="156" w:after="156"/>
        <w:ind w:left="567" w:hanging="567" w:hangingChars="270"/>
        <w:rPr>
          <w:rFonts w:ascii="宋体" w:hAnsi="宋体" w:eastAsia="宋体" w:cs="Times New Roman"/>
        </w:rPr>
      </w:pPr>
      <w:bookmarkStart w:id="56" w:name="_Toc8130"/>
      <w:r>
        <w:rPr>
          <w:rFonts w:hint="eastAsia" w:hAnsi="黑体" w:cs="黑体"/>
        </w:rPr>
        <w:t>5.5.1</w:t>
      </w:r>
      <w:r>
        <w:rPr>
          <w:rFonts w:hAnsi="黑体" w:cs="黑体"/>
        </w:rPr>
        <w:t xml:space="preserve">  </w:t>
      </w:r>
      <w:r>
        <w:rPr>
          <w:rFonts w:hint="eastAsia"/>
        </w:rPr>
        <w:t>重点任务攻坚行动</w:t>
      </w:r>
    </w:p>
    <w:p>
      <w:pPr>
        <w:pStyle w:val="19"/>
        <w:spacing w:before="156" w:after="156"/>
      </w:pPr>
      <w:r>
        <w:rPr>
          <w:rFonts w:hint="eastAsia" w:ascii="黑体" w:hAnsi="黑体" w:eastAsia="黑体" w:cs="黑体"/>
        </w:rPr>
        <w:t>5.5.1.1</w:t>
      </w:r>
      <w:r>
        <w:rPr>
          <w:rFonts w:ascii="黑体" w:hAnsi="黑体" w:eastAsia="黑体" w:cs="黑体"/>
        </w:rPr>
        <w:t xml:space="preserve">  </w:t>
      </w:r>
      <w:r>
        <w:rPr>
          <w:rFonts w:hint="eastAsia"/>
        </w:rPr>
        <w:t>市、区市物业主管部门每年确定红色物业年度重点攻坚任务，并制订工作方案、明确工作目标和完成时限，一年一两个重点任务，清除群众反映强烈的难点堵点问题。</w:t>
      </w:r>
    </w:p>
    <w:p>
      <w:pPr>
        <w:pStyle w:val="19"/>
        <w:spacing w:before="156" w:after="156"/>
      </w:pPr>
      <w:r>
        <w:rPr>
          <w:rFonts w:hint="eastAsia" w:ascii="黑体" w:hAnsi="黑体" w:eastAsia="黑体" w:cs="黑体"/>
        </w:rPr>
        <w:t>5.5.1.2</w:t>
      </w:r>
      <w:r>
        <w:rPr>
          <w:rFonts w:ascii="黑体" w:hAnsi="黑体" w:eastAsia="黑体" w:cs="黑体"/>
        </w:rPr>
        <w:t xml:space="preserve">  </w:t>
      </w:r>
      <w:r>
        <w:rPr>
          <w:rFonts w:hint="eastAsia"/>
        </w:rPr>
        <w:t>依托“爱山东”APP（威海站）开设“红色物业”专栏，设置投诉上报、处理、监督、结果反馈全闭环工作流程，建立投诉响应机制、预警触发反应机制，确保所有反映问题第一时间传递至物业企业和物业主管部门、镇街社区，对超出处理时限的问题自动上传至上级单位进行监督处理，直到投诉事项处置完毕。</w:t>
      </w:r>
    </w:p>
    <w:bookmarkEnd w:id="56"/>
    <w:p>
      <w:pPr>
        <w:pStyle w:val="18"/>
        <w:spacing w:before="156" w:after="156"/>
        <w:rPr>
          <w:rFonts w:ascii="宋体" w:hAnsi="宋体" w:eastAsia="宋体" w:cs="Times New Roman"/>
        </w:rPr>
      </w:pPr>
      <w:bookmarkStart w:id="57" w:name="_Toc10204"/>
      <w:r>
        <w:rPr>
          <w:rFonts w:hint="eastAsia" w:hAnsi="黑体" w:cs="黑体"/>
        </w:rPr>
        <w:t>5.5.2</w:t>
      </w:r>
      <w:r>
        <w:rPr>
          <w:rFonts w:hAnsi="黑体" w:cs="黑体"/>
        </w:rPr>
        <w:t xml:space="preserve">  </w:t>
      </w:r>
      <w:r>
        <w:rPr>
          <w:rFonts w:hint="eastAsia"/>
        </w:rPr>
        <w:t>跟踪督导评估问效</w:t>
      </w:r>
      <w:bookmarkEnd w:id="57"/>
    </w:p>
    <w:p>
      <w:pPr>
        <w:pStyle w:val="19"/>
        <w:spacing w:before="156" w:after="156"/>
      </w:pPr>
      <w:r>
        <w:rPr>
          <w:rFonts w:hint="eastAsia" w:ascii="黑体" w:hAnsi="黑体" w:eastAsia="黑体" w:cs="黑体"/>
        </w:rPr>
        <w:t>5.5.2.1</w:t>
      </w:r>
      <w:r>
        <w:rPr>
          <w:rFonts w:ascii="黑体" w:hAnsi="黑体" w:eastAsia="黑体" w:cs="黑体"/>
        </w:rPr>
        <w:t xml:space="preserve">  </w:t>
      </w:r>
      <w:r>
        <w:rPr>
          <w:rFonts w:hint="eastAsia"/>
        </w:rPr>
        <w:t>市、区市、街道、社区应</w:t>
      </w:r>
      <w:r>
        <w:rPr>
          <w:rFonts w:hint="eastAsia" w:hAnsi="Times New Roman" w:cs="Times New Roman"/>
        </w:rPr>
        <w:t>第一时间对群众反映的各类物业难点、堵点、痛点问题做出反应，在承诺时限内及时予以回复、处理。</w:t>
      </w:r>
      <w:r>
        <w:rPr>
          <w:rFonts w:hint="eastAsia"/>
        </w:rPr>
        <w:t>落实销号管理制度，问题不解决不销号。对问题积压多、解决成效差、群众反映强烈的责任主体，</w:t>
      </w:r>
      <w:r>
        <w:rPr>
          <w:rFonts w:hint="eastAsia"/>
          <w:lang w:eastAsia="zh-CN"/>
        </w:rPr>
        <w:t>应</w:t>
      </w:r>
      <w:r>
        <w:rPr>
          <w:rFonts w:hint="eastAsia"/>
        </w:rPr>
        <w:t>进当面约谈、公开通报、计入年度考核。</w:t>
      </w:r>
    </w:p>
    <w:p>
      <w:pPr>
        <w:pStyle w:val="19"/>
        <w:spacing w:before="156" w:after="156"/>
      </w:pPr>
      <w:r>
        <w:rPr>
          <w:rFonts w:hint="eastAsia" w:ascii="黑体" w:hAnsi="黑体" w:eastAsia="黑体" w:cs="黑体"/>
        </w:rPr>
        <w:t>5.5.2.2</w:t>
      </w:r>
      <w:r>
        <w:rPr>
          <w:rFonts w:ascii="黑体" w:hAnsi="黑体" w:eastAsia="黑体" w:cs="黑体"/>
        </w:rPr>
        <w:t xml:space="preserve">  </w:t>
      </w:r>
      <w:r>
        <w:rPr>
          <w:rFonts w:hint="eastAsia"/>
        </w:rPr>
        <w:t>建立物业企业服务清单、业委会权责清单、街道社区党组织考核评价清单“三张清单”。根据有关清单承诺和实际执行效果做出综合评价，计入三方年度工作考核中。</w:t>
      </w:r>
    </w:p>
    <w:p>
      <w:pPr>
        <w:pStyle w:val="14"/>
        <w:spacing w:before="312" w:after="312"/>
        <w:rPr>
          <w:szCs w:val="21"/>
        </w:rPr>
      </w:pPr>
      <w:bookmarkStart w:id="58" w:name="_Toc4383"/>
      <w:bookmarkStart w:id="59" w:name="_Hlk71247942"/>
      <w:r>
        <w:rPr>
          <w:rFonts w:hint="eastAsia"/>
          <w:szCs w:val="21"/>
        </w:rPr>
        <w:t>行业共塑</w:t>
      </w:r>
      <w:bookmarkEnd w:id="58"/>
    </w:p>
    <w:p>
      <w:pPr>
        <w:pStyle w:val="16"/>
        <w:numPr>
          <w:ilvl w:val="1"/>
          <w:numId w:val="0"/>
        </w:numPr>
        <w:spacing w:before="156" w:after="156"/>
      </w:pPr>
      <w:bookmarkStart w:id="60" w:name="_Toc17155"/>
      <w:bookmarkStart w:id="61" w:name="_Hlk71710592"/>
      <w:r>
        <w:rPr>
          <w:rFonts w:hint="eastAsia"/>
          <w:lang w:val="en-US" w:eastAsia="zh-CN"/>
        </w:rPr>
        <w:t xml:space="preserve">6.1  </w:t>
      </w:r>
      <w:r>
        <w:rPr>
          <w:rFonts w:hint="eastAsia"/>
        </w:rPr>
        <w:t>队伍建设</w:t>
      </w:r>
      <w:bookmarkEnd w:id="60"/>
    </w:p>
    <w:p>
      <w:pPr>
        <w:pStyle w:val="18"/>
        <w:spacing w:before="156" w:after="156"/>
        <w:ind w:left="567" w:hanging="567" w:hangingChars="270"/>
        <w:rPr>
          <w:rFonts w:hAnsi="宋体" w:cs="Times New Roman"/>
        </w:rPr>
      </w:pPr>
      <w:bookmarkStart w:id="62" w:name="_Toc18620"/>
      <w:r>
        <w:rPr>
          <w:rFonts w:hint="eastAsia" w:hAnsi="宋体" w:cs="Times New Roman"/>
        </w:rPr>
        <w:t>6.1.1  实行全行业“红色”教育</w:t>
      </w:r>
      <w:bookmarkEnd w:id="62"/>
    </w:p>
    <w:p>
      <w:pPr>
        <w:pStyle w:val="19"/>
        <w:spacing w:before="156" w:after="156"/>
        <w:ind w:firstLine="420" w:firstLineChars="200"/>
      </w:pPr>
      <w:r>
        <w:rPr>
          <w:rFonts w:hint="eastAsia"/>
        </w:rPr>
        <w:t>在全行业党员队伍中广泛开展“比党建看初心、比服务看为民、比诚信看品牌、比技能看素质、比精致看发展”五比五看活动，践行红色物业精神和发展道路的坚定信念和行动自觉。</w:t>
      </w:r>
    </w:p>
    <w:p>
      <w:pPr>
        <w:pStyle w:val="18"/>
        <w:spacing w:before="156" w:after="156"/>
        <w:ind w:left="567" w:hanging="567" w:hangingChars="270"/>
        <w:rPr>
          <w:rFonts w:hAnsi="宋体" w:cs="Times New Roman"/>
        </w:rPr>
      </w:pPr>
      <w:bookmarkStart w:id="63" w:name="_Toc30738"/>
      <w:r>
        <w:rPr>
          <w:rFonts w:hint="eastAsia" w:hAnsi="宋体" w:cs="Times New Roman"/>
        </w:rPr>
        <w:t>6.1.2  实施全行业人才培养</w:t>
      </w:r>
      <w:bookmarkEnd w:id="63"/>
    </w:p>
    <w:p>
      <w:pPr>
        <w:pStyle w:val="19"/>
        <w:spacing w:before="156" w:after="156"/>
        <w:ind w:firstLine="420" w:firstLineChars="200"/>
      </w:pPr>
      <w:r>
        <w:rPr>
          <w:rFonts w:hint="eastAsia"/>
        </w:rPr>
        <w:t>深化与威海职业学院、威海中等职业学校等教育机构的联合办学和人才培养机制，实施“五个专项提升”行动，每年对物业服务企业党组织书记、企业党员、入党积极分子、企业管理人员、专业技能人员和全体物业从业人员开展轮训。由市、区市物业主管部门制定培训计划，物业行业党委和物业行业党总支抓好落实，每年培训人数不少于3000人。</w:t>
      </w:r>
    </w:p>
    <w:p>
      <w:pPr>
        <w:pStyle w:val="18"/>
        <w:spacing w:before="156" w:after="156"/>
        <w:ind w:left="567" w:hanging="567" w:hangingChars="270"/>
        <w:rPr>
          <w:rFonts w:hAnsi="宋体" w:cs="Times New Roman"/>
        </w:rPr>
      </w:pPr>
      <w:bookmarkStart w:id="64" w:name="_Toc12414"/>
      <w:r>
        <w:rPr>
          <w:rFonts w:hint="eastAsia" w:hAnsi="宋体" w:cs="Times New Roman"/>
        </w:rPr>
        <w:t>6.1.3  搭建提升专业能力的载体平台</w:t>
      </w:r>
      <w:bookmarkEnd w:id="64"/>
    </w:p>
    <w:p>
      <w:pPr>
        <w:pStyle w:val="19"/>
        <w:spacing w:before="156" w:after="156"/>
        <w:ind w:firstLine="420" w:firstLineChars="200"/>
      </w:pPr>
      <w:r>
        <w:rPr>
          <w:rFonts w:hint="eastAsia"/>
        </w:rPr>
        <w:t>采取集中授课、知识竞赛、党课演讲、技能比武等多元化方式开展全员岗位大练兵活动，不断提升物业服务企业专业能力素质。搭建物业工作竞赛平台，每年举办一次全市物业技能大比武，形成比学赶帮超的浓厚氛围。积极推荐优秀人才参加国家级、省级物业技能大赛，夺牌扛旗，为优秀专业物业“工匠”的脱颖而出创造有利条件。</w:t>
      </w:r>
    </w:p>
    <w:p>
      <w:pPr>
        <w:pStyle w:val="16"/>
        <w:numPr>
          <w:ilvl w:val="1"/>
          <w:numId w:val="0"/>
        </w:numPr>
        <w:spacing w:before="156" w:after="156"/>
      </w:pPr>
      <w:bookmarkStart w:id="65" w:name="_Toc23587"/>
      <w:r>
        <w:rPr>
          <w:rFonts w:hint="eastAsia"/>
          <w:lang w:val="en-US" w:eastAsia="zh-CN"/>
        </w:rPr>
        <w:t xml:space="preserve">6.2  </w:t>
      </w:r>
      <w:r>
        <w:rPr>
          <w:rFonts w:hint="eastAsia"/>
        </w:rPr>
        <w:t>物业服务提升</w:t>
      </w:r>
      <w:bookmarkEnd w:id="65"/>
    </w:p>
    <w:p>
      <w:pPr>
        <w:pStyle w:val="18"/>
        <w:spacing w:before="156" w:after="156"/>
        <w:ind w:left="567" w:hanging="567" w:hangingChars="270"/>
        <w:rPr>
          <w:rFonts w:hAnsi="宋体" w:cs="Times New Roman"/>
        </w:rPr>
      </w:pPr>
      <w:bookmarkStart w:id="66" w:name="_Toc72462358"/>
      <w:bookmarkStart w:id="67" w:name="_Toc8675"/>
      <w:r>
        <w:rPr>
          <w:rFonts w:hint="eastAsia" w:hAnsi="宋体" w:cs="Times New Roman"/>
        </w:rPr>
        <w:t>6.2.1  小区物业服务全覆盖</w:t>
      </w:r>
      <w:bookmarkEnd w:id="66"/>
      <w:bookmarkEnd w:id="67"/>
    </w:p>
    <w:p>
      <w:pPr>
        <w:pStyle w:val="19"/>
        <w:spacing w:before="156" w:after="156"/>
        <w:ind w:firstLine="420" w:firstLineChars="200"/>
      </w:pPr>
      <w:r>
        <w:rPr>
          <w:rFonts w:hint="eastAsia"/>
        </w:rPr>
        <w:t>区市统筹推动住宅小区物业服务全覆盖。对无物业服务的住宅小区，区市应区分不同小区特点，探索通过街道社区党组织领办公益物业服务企业、引入国有物业服务企业、专业性社会组织等方式，提供物业兜底服务。老旧小区改造应把引入物业专业化服务作为实施改造的先决条件。实行分类指导，充分考虑住宅小区特点、规模、人口结构等实际情况，引导业主选择或调整符合基层实际、体现党建引领、满足居民需求的物业服务方式和管理模式。</w:t>
      </w:r>
    </w:p>
    <w:p>
      <w:pPr>
        <w:pStyle w:val="18"/>
        <w:spacing w:before="156" w:after="156"/>
        <w:ind w:left="567" w:hanging="567" w:hangingChars="270"/>
        <w:rPr>
          <w:rFonts w:hAnsi="宋体" w:cs="Times New Roman"/>
        </w:rPr>
      </w:pPr>
      <w:bookmarkStart w:id="68" w:name="_Toc24649"/>
      <w:r>
        <w:rPr>
          <w:rFonts w:hint="eastAsia" w:hAnsi="宋体" w:cs="Times New Roman"/>
        </w:rPr>
        <w:t>6.2.2  物业服务人员配备</w:t>
      </w:r>
      <w:bookmarkEnd w:id="68"/>
    </w:p>
    <w:p>
      <w:pPr>
        <w:pStyle w:val="19"/>
        <w:spacing w:before="156" w:after="156"/>
        <w:ind w:firstLine="420" w:firstLineChars="200"/>
      </w:pPr>
      <w:r>
        <w:rPr>
          <w:rFonts w:hint="eastAsia"/>
        </w:rPr>
        <w:t>物业服务企业应当根据物业项目的规模，合理配备相应数量的项目经理、客户服务人员、秩序维护人员、设施设备维护人员、卫生保洁人员及绿化养护人员等，确保小区物业服务项目的日常管理运行。</w:t>
      </w:r>
    </w:p>
    <w:p>
      <w:pPr>
        <w:pStyle w:val="18"/>
        <w:spacing w:before="156" w:after="156"/>
        <w:ind w:left="567" w:hanging="567" w:hangingChars="270"/>
        <w:rPr>
          <w:rFonts w:hAnsi="宋体" w:cs="Times New Roman"/>
        </w:rPr>
      </w:pPr>
      <w:bookmarkStart w:id="69" w:name="_Toc31002"/>
      <w:r>
        <w:rPr>
          <w:rFonts w:hint="eastAsia" w:hAnsi="宋体" w:cs="Times New Roman"/>
        </w:rPr>
        <w:t>6.2.3  物业行业标准化规范化服务</w:t>
      </w:r>
      <w:bookmarkEnd w:id="69"/>
    </w:p>
    <w:p>
      <w:pPr>
        <w:pStyle w:val="19"/>
        <w:spacing w:before="156" w:after="156"/>
        <w:ind w:firstLine="420" w:firstLineChars="200"/>
      </w:pPr>
      <w:r>
        <w:rPr>
          <w:rFonts w:hint="eastAsia"/>
        </w:rPr>
        <w:t>严格落实《威海市红色物业工作标准（试行）》，规范物业人员服务流程和服务标准，做到语言规范、动作标准，仪容整洁、风纪严明，尊重客户、合作友好，耐心热情。严禁发生训斥、推诿、刁难行为，严禁“生、冷、硬、横”现象发生。</w:t>
      </w:r>
    </w:p>
    <w:p>
      <w:pPr>
        <w:pStyle w:val="18"/>
        <w:spacing w:before="156" w:after="156"/>
        <w:ind w:left="567" w:hanging="567" w:hangingChars="270"/>
        <w:rPr>
          <w:rFonts w:hAnsi="宋体" w:cs="Times New Roman"/>
        </w:rPr>
      </w:pPr>
      <w:bookmarkStart w:id="70" w:name="_Toc27082"/>
      <w:r>
        <w:rPr>
          <w:rFonts w:hint="eastAsia" w:hAnsi="宋体" w:cs="Times New Roman"/>
        </w:rPr>
        <w:t>6.2.4  特色服务</w:t>
      </w:r>
      <w:bookmarkEnd w:id="70"/>
    </w:p>
    <w:p>
      <w:pPr>
        <w:pStyle w:val="19"/>
        <w:spacing w:before="156" w:after="156"/>
        <w:ind w:firstLine="420" w:firstLineChars="200"/>
      </w:pPr>
      <w:r>
        <w:rPr>
          <w:rFonts w:hint="eastAsia"/>
        </w:rPr>
        <w:t>深度挖掘业主需求，运用管理创新、模式创新、服务创新、技术创新等多种方式，为广大业主提供除物业标准化服务“菜单”之外更多的创新性特色化定制化服务，满足广大为主对餐饮、家政、康养、托管、教育以及婚丧嫁娶等全链条、全生命周期的服务需求。</w:t>
      </w:r>
      <w:bookmarkEnd w:id="61"/>
    </w:p>
    <w:p>
      <w:pPr>
        <w:pStyle w:val="18"/>
        <w:spacing w:before="156" w:after="156"/>
        <w:ind w:left="567" w:hanging="567" w:hangingChars="270"/>
        <w:rPr>
          <w:rFonts w:hAnsi="宋体" w:cs="Times New Roman"/>
        </w:rPr>
      </w:pPr>
      <w:bookmarkStart w:id="71" w:name="_Toc191"/>
      <w:r>
        <w:rPr>
          <w:rFonts w:hint="eastAsia" w:hAnsi="宋体" w:cs="Times New Roman"/>
        </w:rPr>
        <w:t>6.2.5  制度管理</w:t>
      </w:r>
      <w:bookmarkEnd w:id="71"/>
    </w:p>
    <w:bookmarkEnd w:id="59"/>
    <w:p>
      <w:pPr>
        <w:pStyle w:val="19"/>
        <w:spacing w:before="156" w:after="156"/>
        <w:ind w:firstLine="420" w:firstLineChars="200"/>
      </w:pPr>
      <w:r>
        <w:rPr>
          <w:rFonts w:hint="eastAsia"/>
        </w:rPr>
        <w:t>物业服务企业</w:t>
      </w:r>
      <w:r>
        <w:rPr>
          <w:rFonts w:hint="eastAsia"/>
          <w:lang w:eastAsia="zh-CN"/>
        </w:rPr>
        <w:t>应</w:t>
      </w:r>
      <w:r>
        <w:rPr>
          <w:rFonts w:hint="eastAsia"/>
        </w:rPr>
        <w:t>建立规范的设施设备维修养护制度、房屋及公共部位维修养护制度、秩序维护管理制度、重大事项报告及应急响应制度、环境清洁管理制度、园林绿化管理制度、消防安全管理制度、装修管理制度等物业服务管理相关的制度，确保各项制度落地实施，保证日常管理的规范运行。</w:t>
      </w:r>
    </w:p>
    <w:p>
      <w:pPr>
        <w:pStyle w:val="16"/>
        <w:numPr>
          <w:ilvl w:val="1"/>
          <w:numId w:val="0"/>
        </w:numPr>
        <w:spacing w:before="156" w:after="156"/>
      </w:pPr>
      <w:bookmarkStart w:id="72" w:name="_Toc29058"/>
      <w:r>
        <w:rPr>
          <w:rFonts w:hint="eastAsia"/>
          <w:lang w:val="en-US" w:eastAsia="zh-CN"/>
        </w:rPr>
        <w:t xml:space="preserve">6.3  </w:t>
      </w:r>
      <w:r>
        <w:rPr>
          <w:rFonts w:hint="eastAsia"/>
        </w:rPr>
        <w:t>品牌育成</w:t>
      </w:r>
      <w:bookmarkEnd w:id="72"/>
    </w:p>
    <w:p>
      <w:pPr>
        <w:pStyle w:val="18"/>
        <w:spacing w:before="156" w:after="156"/>
        <w:ind w:left="567" w:hanging="567" w:hangingChars="270"/>
        <w:rPr>
          <w:rFonts w:hAnsi="宋体" w:cs="Times New Roman"/>
        </w:rPr>
      </w:pPr>
      <w:bookmarkStart w:id="73" w:name="_Toc27713"/>
      <w:r>
        <w:rPr>
          <w:rFonts w:hint="eastAsia" w:hAnsi="宋体" w:cs="Times New Roman"/>
        </w:rPr>
        <w:t>6.3.1  市级“红色物业”品牌推广</w:t>
      </w:r>
      <w:bookmarkEnd w:id="73"/>
    </w:p>
    <w:p>
      <w:pPr>
        <w:pStyle w:val="19"/>
        <w:spacing w:before="156" w:after="156"/>
      </w:pPr>
      <w:r>
        <w:rPr>
          <w:rFonts w:hint="eastAsia" w:ascii="黑体" w:hAnsi="黑体" w:eastAsia="黑体" w:cs="黑体"/>
        </w:rPr>
        <w:t xml:space="preserve">6.3.1.1  </w:t>
      </w:r>
      <w:r>
        <w:rPr>
          <w:rFonts w:hint="eastAsia"/>
        </w:rPr>
        <w:t>提炼挖掘红色物业的品牌精神与文化内涵，多媒体、多渠道展示和传播威海红色物业LOGO和吉祥物等品牌形象，宣传威海红色物业先进典型，持续举办“红色物业 情暖万家”大型惠民主题活动，塑造威海红色物业品牌。</w:t>
      </w:r>
    </w:p>
    <w:p>
      <w:pPr>
        <w:pStyle w:val="19"/>
        <w:spacing w:before="156" w:after="156"/>
      </w:pPr>
      <w:r>
        <w:rPr>
          <w:rFonts w:hint="eastAsia" w:ascii="黑体" w:hAnsi="黑体" w:eastAsia="黑体" w:cs="黑体"/>
        </w:rPr>
        <w:t xml:space="preserve">6.3.1.2  </w:t>
      </w:r>
      <w:r>
        <w:rPr>
          <w:rFonts w:hint="eastAsia"/>
        </w:rPr>
        <w:t>全方位展示威海红色物业改革创新精神，发展战略举措、文化建设成果，将威海市红色物业党建基地申报为党校和部分高校的党建教学示范点。加强与全国红色物业先进地区、先进单位的学习互鉴和经验交流，适时举办全国红色物业工作研讨会议，进一步扩大威海市红色物业品牌影响力。</w:t>
      </w:r>
    </w:p>
    <w:p>
      <w:pPr>
        <w:pStyle w:val="18"/>
        <w:spacing w:before="156" w:after="156"/>
        <w:ind w:left="567" w:hanging="567" w:hangingChars="270"/>
        <w:rPr>
          <w:rFonts w:hAnsi="宋体" w:cs="Times New Roman"/>
        </w:rPr>
      </w:pPr>
      <w:bookmarkStart w:id="74" w:name="_Toc2846"/>
      <w:r>
        <w:rPr>
          <w:rFonts w:hint="eastAsia" w:hAnsi="宋体" w:cs="Times New Roman"/>
        </w:rPr>
        <w:t>6.3.2  区市“威海红色物业”子品牌推广</w:t>
      </w:r>
      <w:bookmarkEnd w:id="74"/>
    </w:p>
    <w:p>
      <w:pPr>
        <w:pStyle w:val="19"/>
        <w:spacing w:before="156" w:after="156"/>
        <w:ind w:firstLine="420" w:firstLineChars="200"/>
      </w:pPr>
      <w:r>
        <w:rPr>
          <w:rFonts w:hint="eastAsia"/>
        </w:rPr>
        <w:t>各区市可结合自身红色物业的创新实践和发展路径，提炼、总结、概括能充分彰显区域特色的红色物业子品牌，经市级主管部门同意后正式对外发布，与“威海红色物业”品牌共同构成全域红色物业品牌矩阵。</w:t>
      </w:r>
    </w:p>
    <w:p>
      <w:pPr>
        <w:pStyle w:val="18"/>
        <w:spacing w:before="156" w:after="156"/>
        <w:ind w:left="567" w:hanging="567" w:hangingChars="270"/>
        <w:rPr>
          <w:rFonts w:hAnsi="宋体" w:cs="Times New Roman"/>
        </w:rPr>
      </w:pPr>
      <w:bookmarkStart w:id="75" w:name="_Toc24236"/>
      <w:r>
        <w:rPr>
          <w:rFonts w:hint="eastAsia" w:hAnsi="宋体" w:cs="Times New Roman"/>
        </w:rPr>
        <w:t>6.3.3  物业服务企业品牌战略</w:t>
      </w:r>
      <w:bookmarkEnd w:id="75"/>
    </w:p>
    <w:p>
      <w:pPr>
        <w:pStyle w:val="19"/>
        <w:spacing w:before="156" w:after="156"/>
        <w:ind w:firstLine="420" w:firstLineChars="200"/>
      </w:pPr>
      <w:r>
        <w:rPr>
          <w:rFonts w:hint="eastAsia"/>
        </w:rPr>
        <w:t>引导物业企业系统谋划企业品牌、项目品牌、服务品牌的发展规划、行动路径和保障措施。</w:t>
      </w:r>
    </w:p>
    <w:p>
      <w:pPr>
        <w:pStyle w:val="16"/>
        <w:numPr>
          <w:ilvl w:val="1"/>
          <w:numId w:val="0"/>
        </w:numPr>
        <w:spacing w:before="156" w:after="156"/>
      </w:pPr>
      <w:bookmarkStart w:id="76" w:name="_Toc31553"/>
      <w:r>
        <w:rPr>
          <w:rFonts w:hint="eastAsia"/>
          <w:lang w:val="en-US" w:eastAsia="zh-CN"/>
        </w:rPr>
        <w:t xml:space="preserve">6.4  </w:t>
      </w:r>
      <w:r>
        <w:rPr>
          <w:rFonts w:hint="eastAsia"/>
        </w:rPr>
        <w:t>信用建设</w:t>
      </w:r>
      <w:bookmarkEnd w:id="76"/>
    </w:p>
    <w:p>
      <w:pPr>
        <w:pStyle w:val="18"/>
        <w:spacing w:before="156" w:after="156"/>
        <w:ind w:left="567" w:hanging="567" w:hangingChars="270"/>
        <w:rPr>
          <w:rFonts w:hAnsi="宋体" w:cs="Times New Roman"/>
        </w:rPr>
      </w:pPr>
      <w:bookmarkStart w:id="77" w:name="_Toc10424"/>
      <w:r>
        <w:rPr>
          <w:rFonts w:hint="eastAsia" w:hAnsi="宋体" w:cs="Times New Roman"/>
        </w:rPr>
        <w:t>6.4.1  红色物业治理融入全市信用体系建设</w:t>
      </w:r>
      <w:bookmarkEnd w:id="77"/>
    </w:p>
    <w:p>
      <w:pPr>
        <w:pStyle w:val="19"/>
        <w:spacing w:before="156" w:after="156"/>
      </w:pPr>
      <w:r>
        <w:rPr>
          <w:rFonts w:hint="eastAsia" w:ascii="黑体" w:hAnsi="黑体" w:eastAsia="黑体" w:cs="黑体"/>
        </w:rPr>
        <w:t xml:space="preserve">6.4.1.1  </w:t>
      </w:r>
      <w:r>
        <w:rPr>
          <w:rFonts w:hint="eastAsia"/>
        </w:rPr>
        <w:t>区市</w:t>
      </w:r>
      <w:r>
        <w:rPr>
          <w:rFonts w:hint="eastAsia"/>
          <w:lang w:eastAsia="zh-CN"/>
        </w:rPr>
        <w:t>应</w:t>
      </w:r>
      <w:r>
        <w:rPr>
          <w:rFonts w:hint="eastAsia"/>
        </w:rPr>
        <w:t>建立完善物业服务企业、物业项目（小区）、业主委员会信用管理制度，探索将物业服务企业、服务项目、业主委员会工作信用积分情况纳入全市海贝分管理系统，实行一体化管理。</w:t>
      </w:r>
    </w:p>
    <w:p>
      <w:pPr>
        <w:pStyle w:val="19"/>
        <w:spacing w:before="156" w:after="156"/>
      </w:pPr>
      <w:r>
        <w:rPr>
          <w:rFonts w:hint="eastAsia" w:ascii="黑体" w:hAnsi="黑体" w:eastAsia="黑体" w:cs="黑体"/>
        </w:rPr>
        <w:t xml:space="preserve">6.4.1.2  </w:t>
      </w:r>
      <w:r>
        <w:rPr>
          <w:rFonts w:hint="eastAsia"/>
        </w:rPr>
        <w:t>建立健全党员、社区居民、双报到单位个人、服务志愿者等参与社区红色物业工作的信用积分管理办法，完善信息采集、报送以及纳入海贝分系统管理的方式方法。</w:t>
      </w:r>
    </w:p>
    <w:p>
      <w:pPr>
        <w:pStyle w:val="18"/>
        <w:spacing w:before="156" w:after="156"/>
        <w:ind w:left="567" w:hanging="567" w:hangingChars="270"/>
        <w:rPr>
          <w:rFonts w:hAnsi="宋体" w:cs="Times New Roman"/>
        </w:rPr>
      </w:pPr>
      <w:bookmarkStart w:id="78" w:name="_Toc31708"/>
      <w:r>
        <w:rPr>
          <w:rFonts w:hint="eastAsia" w:hAnsi="宋体" w:cs="Times New Roman"/>
        </w:rPr>
        <w:t>6.4.2  “契约化＋信用”约束激励</w:t>
      </w:r>
      <w:bookmarkEnd w:id="78"/>
      <w:r>
        <w:rPr>
          <w:rFonts w:hint="eastAsia" w:hAnsi="宋体" w:cs="Times New Roman"/>
        </w:rPr>
        <w:t>建设</w:t>
      </w:r>
    </w:p>
    <w:p>
      <w:pPr>
        <w:pStyle w:val="19"/>
        <w:spacing w:before="156" w:after="156"/>
      </w:pPr>
      <w:r>
        <w:rPr>
          <w:rFonts w:hint="eastAsia" w:ascii="黑体" w:hAnsi="黑体" w:eastAsia="黑体" w:cs="黑体"/>
        </w:rPr>
        <w:t xml:space="preserve">6.4.2.1  </w:t>
      </w:r>
      <w:r>
        <w:rPr>
          <w:rFonts w:hint="eastAsia"/>
        </w:rPr>
        <w:t>区市</w:t>
      </w:r>
      <w:r>
        <w:rPr>
          <w:rFonts w:hint="eastAsia"/>
          <w:lang w:eastAsia="zh-CN"/>
        </w:rPr>
        <w:t>应</w:t>
      </w:r>
      <w:r>
        <w:rPr>
          <w:rFonts w:hint="eastAsia"/>
        </w:rPr>
        <w:t>推行采用签订承诺契约书或服务协议的方式，明确物业企业、业主委员会、小区业主三者之间的服务承诺和权利、责任清单，逐步形成建立在三方信用基础之上的刚性约束机制。</w:t>
      </w:r>
    </w:p>
    <w:p>
      <w:pPr>
        <w:pStyle w:val="19"/>
        <w:spacing w:before="156" w:after="156"/>
      </w:pPr>
      <w:r>
        <w:rPr>
          <w:rFonts w:hint="eastAsia" w:ascii="黑体" w:hAnsi="黑体" w:eastAsia="黑体" w:cs="黑体"/>
        </w:rPr>
        <w:t xml:space="preserve">6.4.2.2  </w:t>
      </w:r>
      <w:r>
        <w:rPr>
          <w:rFonts w:hint="eastAsia"/>
        </w:rPr>
        <w:t>完善信用激励机制，通过设立红色信用银行、信用集市等，吸引企业商户上线商品、打折服务、消费减免等奖励，充分调动党员群众参与红色物业工作的积极性。</w:t>
      </w:r>
    </w:p>
    <w:p>
      <w:pPr>
        <w:pStyle w:val="18"/>
        <w:spacing w:before="156" w:after="156"/>
        <w:ind w:left="567" w:hanging="567" w:hangingChars="270"/>
        <w:rPr>
          <w:rFonts w:hAnsi="宋体" w:cs="Times New Roman"/>
        </w:rPr>
      </w:pPr>
      <w:bookmarkStart w:id="79" w:name="_Toc69"/>
      <w:r>
        <w:rPr>
          <w:rFonts w:hint="eastAsia" w:hAnsi="宋体" w:cs="Times New Roman"/>
        </w:rPr>
        <w:t>6.4.3  物业行业自律建设</w:t>
      </w:r>
      <w:bookmarkEnd w:id="79"/>
    </w:p>
    <w:p>
      <w:pPr>
        <w:pStyle w:val="19"/>
        <w:spacing w:before="156" w:after="156"/>
      </w:pPr>
      <w:bookmarkStart w:id="80" w:name="_Hlk71711859"/>
      <w:r>
        <w:rPr>
          <w:rFonts w:hint="eastAsia" w:ascii="黑体" w:hAnsi="黑体" w:eastAsia="黑体" w:cs="黑体"/>
        </w:rPr>
        <w:t xml:space="preserve">6.4.3.1  </w:t>
      </w:r>
      <w:r>
        <w:rPr>
          <w:rFonts w:hint="eastAsia"/>
        </w:rPr>
        <w:t>物业行业协会所属的行业自律监督专业委员应制定完善《威海市物业服务行业自律公约》，抓住行业自律建设的共性问题，每年组织开展全市物业管理行业自律监督检查。由协会行业市场准入专业委员会牵头，研究、解决物业服务企业市场准入与退出项目管理活动中的不规范行为，规范和完善全市物业管理市场准入与退出秩序。</w:t>
      </w:r>
      <w:bookmarkEnd w:id="80"/>
    </w:p>
    <w:p>
      <w:pPr>
        <w:pStyle w:val="19"/>
        <w:spacing w:before="156" w:after="156"/>
      </w:pPr>
      <w:r>
        <w:rPr>
          <w:rFonts w:hint="eastAsia" w:ascii="黑体" w:hAnsi="黑体" w:eastAsia="黑体" w:cs="黑体"/>
        </w:rPr>
        <w:t xml:space="preserve">6.4.3.2  </w:t>
      </w:r>
      <w:r>
        <w:rPr>
          <w:rFonts w:hint="eastAsia"/>
        </w:rPr>
        <w:t>物业服务企业</w:t>
      </w:r>
      <w:r>
        <w:rPr>
          <w:rFonts w:hint="eastAsia"/>
          <w:lang w:eastAsia="zh-CN"/>
        </w:rPr>
        <w:t>应</w:t>
      </w:r>
      <w:r>
        <w:rPr>
          <w:rFonts w:hint="eastAsia"/>
        </w:rPr>
        <w:t>建立完善内部自律与外部监督相结合的机制，加强制度建设和反腐倡廉教育，杜绝行业不正之风，消除各种腐败现象滋生的土壤。</w:t>
      </w:r>
    </w:p>
    <w:p>
      <w:pPr>
        <w:pStyle w:val="16"/>
        <w:numPr>
          <w:ilvl w:val="1"/>
          <w:numId w:val="0"/>
        </w:numPr>
        <w:spacing w:before="156" w:after="156"/>
      </w:pPr>
      <w:bookmarkStart w:id="81" w:name="_Toc2110"/>
      <w:r>
        <w:rPr>
          <w:rFonts w:hint="eastAsia"/>
          <w:lang w:val="en-US" w:eastAsia="zh-CN"/>
        </w:rPr>
        <w:t xml:space="preserve">6.5  </w:t>
      </w:r>
      <w:r>
        <w:rPr>
          <w:rFonts w:hint="eastAsia"/>
        </w:rPr>
        <w:t>责任履行</w:t>
      </w:r>
      <w:bookmarkEnd w:id="81"/>
    </w:p>
    <w:p>
      <w:pPr>
        <w:pStyle w:val="19"/>
        <w:spacing w:before="156" w:after="156"/>
      </w:pPr>
      <w:r>
        <w:rPr>
          <w:rFonts w:hint="eastAsia" w:ascii="黑体" w:hAnsi="黑体" w:eastAsia="黑体" w:cs="黑体"/>
        </w:rPr>
        <w:t xml:space="preserve">6.5.1  </w:t>
      </w:r>
      <w:r>
        <w:rPr>
          <w:rFonts w:hint="eastAsia"/>
        </w:rPr>
        <w:t>坚持社会效益和经济效益的有机统一，主动融入社区综合治理。在抗疫防疫、抢险救灾、处置重大突发事件等“急难险重”等工作中敢于担责、冲在一线，与其他社区治理参与者共同筑牢人民群众的安全与健康防线。</w:t>
      </w:r>
    </w:p>
    <w:p>
      <w:pPr>
        <w:pStyle w:val="19"/>
        <w:spacing w:before="156" w:after="156"/>
      </w:pPr>
      <w:r>
        <w:rPr>
          <w:rFonts w:hint="eastAsia" w:ascii="黑体" w:hAnsi="黑体" w:eastAsia="黑体" w:cs="黑体"/>
        </w:rPr>
        <w:t xml:space="preserve">6.5.2  </w:t>
      </w:r>
      <w:r>
        <w:rPr>
          <w:rFonts w:hint="eastAsia"/>
        </w:rPr>
        <w:t>积极投身社会公益活动。在扶危济困、关爱他人、救助弱势群体中弘扬正能量，传播真善美，树立负责任物业服务企业形象。</w:t>
      </w:r>
    </w:p>
    <w:p>
      <w:pPr>
        <w:pStyle w:val="14"/>
        <w:spacing w:before="312" w:after="312"/>
        <w:rPr>
          <w:szCs w:val="21"/>
        </w:rPr>
      </w:pPr>
      <w:bookmarkStart w:id="82" w:name="_Toc72462364"/>
      <w:bookmarkStart w:id="83" w:name="_Toc15983"/>
      <w:r>
        <w:rPr>
          <w:szCs w:val="21"/>
        </w:rPr>
        <w:t>精致</w:t>
      </w:r>
      <w:bookmarkEnd w:id="82"/>
      <w:r>
        <w:rPr>
          <w:rFonts w:hint="eastAsia"/>
          <w:szCs w:val="21"/>
        </w:rPr>
        <w:t>共建</w:t>
      </w:r>
      <w:bookmarkEnd w:id="83"/>
    </w:p>
    <w:p>
      <w:pPr>
        <w:pStyle w:val="16"/>
        <w:numPr>
          <w:ilvl w:val="1"/>
          <w:numId w:val="0"/>
        </w:numPr>
        <w:spacing w:before="156" w:after="156"/>
      </w:pPr>
      <w:bookmarkStart w:id="84" w:name="_Toc32306"/>
      <w:bookmarkStart w:id="85" w:name="_Toc4958"/>
      <w:bookmarkStart w:id="86" w:name="_Toc72462365"/>
      <w:r>
        <w:rPr>
          <w:rFonts w:hint="eastAsia"/>
          <w:lang w:val="en-US" w:eastAsia="zh-CN"/>
        </w:rPr>
        <w:t xml:space="preserve">7.1  </w:t>
      </w:r>
      <w:r>
        <w:rPr>
          <w:rFonts w:hint="eastAsia"/>
        </w:rPr>
        <w:t>环境宜居</w:t>
      </w:r>
      <w:bookmarkEnd w:id="84"/>
    </w:p>
    <w:p>
      <w:pPr>
        <w:pStyle w:val="18"/>
        <w:spacing w:before="156" w:after="156"/>
        <w:ind w:left="567" w:hanging="567" w:hangingChars="270"/>
        <w:rPr>
          <w:rFonts w:hAnsi="宋体" w:cs="Times New Roman"/>
        </w:rPr>
      </w:pPr>
      <w:bookmarkStart w:id="87" w:name="_Toc18208"/>
      <w:r>
        <w:rPr>
          <w:rFonts w:hint="eastAsia" w:hAnsi="宋体" w:cs="Times New Roman"/>
        </w:rPr>
        <w:t>7.1.1  公共卫生清洁</w:t>
      </w:r>
      <w:bookmarkEnd w:id="87"/>
    </w:p>
    <w:p>
      <w:pPr>
        <w:pStyle w:val="19"/>
        <w:spacing w:before="156" w:after="156"/>
      </w:pPr>
      <w:r>
        <w:rPr>
          <w:rFonts w:hint="eastAsia" w:ascii="黑体" w:hAnsi="黑体" w:eastAsia="黑体" w:cs="黑体"/>
        </w:rPr>
        <w:t xml:space="preserve">7.1.1.1  </w:t>
      </w:r>
      <w:r>
        <w:rPr>
          <w:rFonts w:hint="eastAsia"/>
        </w:rPr>
        <w:t>楼体内公共区域卫生清洁。保持楼梯、扶手、窗台、楼道玻璃、储藏室通道、楼道箱、盒盖等干净整洁，无积尘。保持楼道内无垃圾、废弃物，无明显污迹，无乱贴乱画和残留，空中无明显蜘蛛网、灰网。</w:t>
      </w:r>
    </w:p>
    <w:p>
      <w:pPr>
        <w:pStyle w:val="19"/>
        <w:spacing w:before="156" w:after="156"/>
      </w:pPr>
      <w:r>
        <w:rPr>
          <w:rFonts w:hint="eastAsia" w:ascii="黑体" w:hAnsi="黑体" w:eastAsia="黑体" w:cs="黑体"/>
        </w:rPr>
        <w:t xml:space="preserve">7.1.1.2  </w:t>
      </w:r>
      <w:r>
        <w:rPr>
          <w:rFonts w:hint="eastAsia"/>
        </w:rPr>
        <w:t>小区内楼体外公共区域卫生清洁。小区内楼体、建筑物、公共设施外表干净，无污渍、无乱贴乱画和残留，公共场地场所无垃圾、无卫生死角等现象。小区活动广场、路面、院面定时清扫，全天候保持整洁。垃圾桶设置合理，标识齐全，桶盖规范，桶体干净整洁，无皮损，周边无散落垃圾、污垢。实施冬季清雪工程，小区</w:t>
      </w:r>
      <w:r>
        <w:rPr>
          <w:rFonts w:hint="eastAsia"/>
          <w:lang w:eastAsia="zh-CN"/>
        </w:rPr>
        <w:t>主要</w:t>
      </w:r>
      <w:r>
        <w:rPr>
          <w:rFonts w:hint="eastAsia"/>
        </w:rPr>
        <w:t>道路和</w:t>
      </w:r>
      <w:r>
        <w:rPr>
          <w:rFonts w:hint="eastAsia"/>
          <w:lang w:eastAsia="zh-CN"/>
        </w:rPr>
        <w:t>主要</w:t>
      </w:r>
      <w:r>
        <w:rPr>
          <w:rFonts w:hint="eastAsia"/>
        </w:rPr>
        <w:t>出入口、楼栋口，保证上下班时间小区无影响通行的积雪和结冰，小雪当天地面雪清，中大雪保证两日内地面雪清，小区内无雪堆。</w:t>
      </w:r>
    </w:p>
    <w:p>
      <w:pPr>
        <w:pStyle w:val="18"/>
        <w:spacing w:before="156" w:after="156"/>
        <w:ind w:left="567" w:hanging="567" w:hangingChars="270"/>
        <w:rPr>
          <w:rFonts w:hAnsi="宋体" w:cs="Times New Roman"/>
        </w:rPr>
      </w:pPr>
      <w:bookmarkStart w:id="88" w:name="_Toc840"/>
      <w:r>
        <w:rPr>
          <w:rFonts w:hint="eastAsia" w:hAnsi="宋体" w:cs="Times New Roman"/>
        </w:rPr>
        <w:t>7.1.2  绿化美化管理到位</w:t>
      </w:r>
      <w:bookmarkEnd w:id="88"/>
    </w:p>
    <w:p>
      <w:pPr>
        <w:pStyle w:val="19"/>
        <w:spacing w:before="156" w:after="156"/>
      </w:pPr>
      <w:r>
        <w:rPr>
          <w:rFonts w:hint="eastAsia" w:ascii="黑体" w:hAnsi="黑体" w:eastAsia="黑体" w:cs="黑体"/>
        </w:rPr>
        <w:t xml:space="preserve">7.1.2.1  </w:t>
      </w:r>
      <w:r>
        <w:rPr>
          <w:rFonts w:hint="eastAsia"/>
        </w:rPr>
        <w:t>绿化植被无明显的人为损坏、缺苗等现象；无随意侵占和改变绿地用途情形；树木无钉、栓、挂等现象；绿地整洁，无砖石瓦块、枯枝，无垃圾等杂物；绿化苗木生长良好，有养护措施；无缺苗断垄，无枯黄死树等现象，无严重病虫害，无杂草，绿地整体景观效果良好；树木修剪合理，树形美观；草坪、绿篱、组团、花卉修剪整齐规范。</w:t>
      </w:r>
    </w:p>
    <w:p>
      <w:pPr>
        <w:pStyle w:val="19"/>
        <w:spacing w:before="156" w:after="156"/>
      </w:pPr>
      <w:r>
        <w:rPr>
          <w:rFonts w:hint="eastAsia" w:ascii="黑体" w:hAnsi="黑体" w:eastAsia="黑体" w:cs="黑体"/>
        </w:rPr>
        <w:t xml:space="preserve">7.1.2.2  </w:t>
      </w:r>
      <w:r>
        <w:rPr>
          <w:rFonts w:hint="eastAsia"/>
        </w:rPr>
        <w:t>新建类小区可按更优级绿化养护标准执行。</w:t>
      </w:r>
    </w:p>
    <w:p>
      <w:pPr>
        <w:pStyle w:val="18"/>
        <w:spacing w:before="156" w:after="156"/>
        <w:ind w:left="567" w:hanging="567" w:hangingChars="270"/>
        <w:rPr>
          <w:rFonts w:hAnsi="宋体" w:cs="Times New Roman"/>
        </w:rPr>
      </w:pPr>
      <w:bookmarkStart w:id="89" w:name="_Toc31018"/>
      <w:r>
        <w:rPr>
          <w:rFonts w:hint="eastAsia" w:hAnsi="宋体" w:cs="Times New Roman"/>
        </w:rPr>
        <w:t>7.1.3  设施设备维修及时</w:t>
      </w:r>
      <w:bookmarkEnd w:id="89"/>
    </w:p>
    <w:p>
      <w:pPr>
        <w:pStyle w:val="19"/>
        <w:spacing w:before="156" w:after="156"/>
        <w:ind w:firstLine="420" w:firstLineChars="200"/>
      </w:pPr>
      <w:r>
        <w:rPr>
          <w:rFonts w:hint="eastAsia"/>
        </w:rPr>
        <w:t>维持小区内公共设施设备良好运行。门禁、围栏、宣传栏、建设器材、路灯、监控、道闸等公共设施定期检查、维护、维修，确保正常使用；道路、院面、道板坑洼影响安全及时修补，保持平坦，路牙歪倒计时扶正。消防设施定期检查保养维护，保证正常运行。电梯正常保养维护，按时年检。</w:t>
      </w:r>
    </w:p>
    <w:p>
      <w:pPr>
        <w:pStyle w:val="18"/>
        <w:spacing w:before="156" w:after="156"/>
        <w:ind w:left="567" w:hanging="567" w:hangingChars="270"/>
        <w:rPr>
          <w:rFonts w:hAnsi="宋体" w:cs="Times New Roman"/>
        </w:rPr>
      </w:pPr>
      <w:bookmarkStart w:id="90" w:name="_Toc2789"/>
      <w:r>
        <w:rPr>
          <w:rFonts w:hint="eastAsia" w:hAnsi="宋体" w:cs="Times New Roman"/>
        </w:rPr>
        <w:t>7.1.4  公共秩序井然</w:t>
      </w:r>
      <w:bookmarkEnd w:id="90"/>
    </w:p>
    <w:p>
      <w:pPr>
        <w:pStyle w:val="19"/>
        <w:spacing w:before="156" w:after="156"/>
      </w:pPr>
      <w:r>
        <w:rPr>
          <w:rFonts w:hint="eastAsia" w:ascii="黑体" w:hAnsi="黑体" w:eastAsia="黑体" w:cs="黑体"/>
        </w:rPr>
        <w:t xml:space="preserve">7.1.4.1  </w:t>
      </w:r>
      <w:r>
        <w:rPr>
          <w:rFonts w:hint="eastAsia"/>
        </w:rPr>
        <w:t>小区实行24小时值班和巡逻制度。涉及人员安全隐患处设有警示标识，并根据情况采取必</w:t>
      </w:r>
      <w:r>
        <w:rPr>
          <w:rFonts w:hint="eastAsia"/>
          <w:lang w:eastAsia="zh-CN"/>
        </w:rPr>
        <w:t>应</w:t>
      </w:r>
      <w:r>
        <w:rPr>
          <w:rFonts w:hint="eastAsia"/>
        </w:rPr>
        <w:t>的安全防范措施。对小区内乱搭建、乱车挂、乱堆放、乱停车、乱晾晒、乱开挖、乱种植、乱装修、乱设管线、乱开门窗、养犬养家禽、噪音等影响居民生活的违法违规行为及时劝阻制止，不听劝阻的，报请社区居委会协助配合处理，同时以书面形式向街道社区执法单位报告。开放式小区配备公共秩序维护人员，对小区流动商贩、非法广告人员及时驱离；发生交通拥堵，及时疏导车辆，保持交通顺畅。</w:t>
      </w:r>
    </w:p>
    <w:p>
      <w:pPr>
        <w:pStyle w:val="19"/>
        <w:spacing w:before="156" w:after="156"/>
      </w:pPr>
      <w:r>
        <w:rPr>
          <w:rFonts w:hint="eastAsia" w:ascii="黑体" w:hAnsi="黑体" w:eastAsia="黑体" w:cs="黑体"/>
        </w:rPr>
        <w:t xml:space="preserve">7.1.4.2  </w:t>
      </w:r>
      <w:r>
        <w:rPr>
          <w:rFonts w:hint="eastAsia"/>
        </w:rPr>
        <w:t>严格执行《山东省物业服务收费管理办法》的</w:t>
      </w:r>
      <w:r>
        <w:rPr>
          <w:rFonts w:hint="eastAsia"/>
          <w:lang w:eastAsia="zh-CN"/>
        </w:rPr>
        <w:t>要求</w:t>
      </w:r>
      <w:r>
        <w:rPr>
          <w:rFonts w:hint="eastAsia"/>
        </w:rPr>
        <w:t>，对公共区域秩序维护服务实行标准化管理，按照星级服务标准，达到人员、门岗、巡逻岗、技防设施和救助（监控岗）、车辆管理等方面的</w:t>
      </w:r>
      <w:r>
        <w:rPr>
          <w:rFonts w:hint="eastAsia"/>
          <w:lang w:eastAsia="zh-CN"/>
        </w:rPr>
        <w:t>要求</w:t>
      </w:r>
      <w:r>
        <w:rPr>
          <w:rFonts w:hint="eastAsia"/>
        </w:rPr>
        <w:t>。</w:t>
      </w:r>
    </w:p>
    <w:p>
      <w:pPr>
        <w:pStyle w:val="16"/>
        <w:numPr>
          <w:ilvl w:val="1"/>
          <w:numId w:val="0"/>
        </w:numPr>
        <w:spacing w:before="156" w:after="156"/>
      </w:pPr>
      <w:bookmarkStart w:id="91" w:name="_Toc72462371"/>
      <w:bookmarkStart w:id="92" w:name="_Toc25663"/>
      <w:r>
        <w:rPr>
          <w:rFonts w:hint="eastAsia"/>
          <w:lang w:val="en-US" w:eastAsia="zh-CN"/>
        </w:rPr>
        <w:t xml:space="preserve">7.2  </w:t>
      </w:r>
      <w:r>
        <w:rPr>
          <w:rFonts w:hint="eastAsia"/>
        </w:rPr>
        <w:t>安全</w:t>
      </w:r>
      <w:bookmarkEnd w:id="91"/>
      <w:r>
        <w:rPr>
          <w:rFonts w:hint="eastAsia"/>
        </w:rPr>
        <w:t>无忧</w:t>
      </w:r>
      <w:bookmarkEnd w:id="92"/>
    </w:p>
    <w:p>
      <w:pPr>
        <w:pStyle w:val="18"/>
        <w:spacing w:before="156" w:after="156"/>
        <w:ind w:left="567" w:hanging="567" w:hangingChars="270"/>
        <w:rPr>
          <w:rFonts w:hAnsi="宋体" w:cs="Times New Roman"/>
        </w:rPr>
      </w:pPr>
      <w:bookmarkStart w:id="93" w:name="_Toc12934"/>
      <w:r>
        <w:rPr>
          <w:rFonts w:hint="eastAsia" w:hAnsi="黑体" w:cs="黑体"/>
        </w:rPr>
        <w:t xml:space="preserve">7.2.1  </w:t>
      </w:r>
      <w:r>
        <w:rPr>
          <w:rFonts w:hint="eastAsia" w:hAnsi="宋体" w:cs="Times New Roman"/>
        </w:rPr>
        <w:t>室内安全</w:t>
      </w:r>
      <w:bookmarkEnd w:id="93"/>
    </w:p>
    <w:p>
      <w:pPr>
        <w:pStyle w:val="19"/>
        <w:spacing w:before="156" w:after="156"/>
      </w:pPr>
      <w:r>
        <w:rPr>
          <w:rFonts w:hint="eastAsia" w:ascii="黑体" w:hAnsi="黑体" w:eastAsia="黑体" w:cs="黑体"/>
        </w:rPr>
        <w:t xml:space="preserve">7.2.1.1  </w:t>
      </w:r>
      <w:r>
        <w:rPr>
          <w:rFonts w:hint="eastAsia"/>
        </w:rPr>
        <w:t>物业服务企业应当建立与区市主管部门、镇街社区、网格员的即时沟通机制，通过加强宣传、施工程序管理等方式，建立对小区住宅装修改造活动的监督和服务机制，对住户改变承重结构、不合理的管线铺设等可能造成安全风险的行为及时予以制止或上报。</w:t>
      </w:r>
    </w:p>
    <w:p>
      <w:pPr>
        <w:pStyle w:val="19"/>
        <w:spacing w:before="156" w:after="156"/>
      </w:pPr>
      <w:r>
        <w:rPr>
          <w:rFonts w:hint="eastAsia" w:ascii="黑体" w:hAnsi="黑体" w:eastAsia="黑体" w:cs="黑体"/>
        </w:rPr>
        <w:t xml:space="preserve">7.2.1.2  </w:t>
      </w:r>
      <w:r>
        <w:rPr>
          <w:rFonts w:hint="eastAsia"/>
        </w:rPr>
        <w:t>物业服务企业应当建立住宅建筑年代和室内管线改造记录，协助业主加强管线负荷与耐久性监测，宣传推广室内灾害报警设备和智能化管理设备等现代科技手段，提升安全风险预警与处置能力。</w:t>
      </w:r>
    </w:p>
    <w:p>
      <w:pPr>
        <w:pStyle w:val="19"/>
        <w:spacing w:before="156" w:after="156"/>
      </w:pPr>
      <w:r>
        <w:rPr>
          <w:rFonts w:hint="eastAsia" w:ascii="黑体" w:hAnsi="黑体" w:eastAsia="黑体" w:cs="黑体"/>
        </w:rPr>
        <w:t xml:space="preserve">7.2.1.3  </w:t>
      </w:r>
      <w:r>
        <w:rPr>
          <w:rFonts w:hint="eastAsia"/>
        </w:rPr>
        <w:t>物业服务企业应当会同网格员，加强对独居、残疾、病患等特殊群体的走访照看，结合医疗保健服务进社区等活动，降低居民健康风险。</w:t>
      </w:r>
    </w:p>
    <w:p>
      <w:pPr>
        <w:pStyle w:val="19"/>
        <w:spacing w:before="156" w:after="156"/>
      </w:pPr>
      <w:r>
        <w:rPr>
          <w:rFonts w:hint="eastAsia" w:ascii="黑体" w:hAnsi="黑体" w:eastAsia="黑体" w:cs="黑体"/>
        </w:rPr>
        <w:t xml:space="preserve">7.2.1.4  </w:t>
      </w:r>
      <w:r>
        <w:rPr>
          <w:rFonts w:hint="eastAsia"/>
        </w:rPr>
        <w:t>镇街社区应当制定住房租赁相关规定，并依托网格治理体系，加强对流动人口的监测管理和服务。</w:t>
      </w:r>
    </w:p>
    <w:p>
      <w:pPr>
        <w:pStyle w:val="19"/>
        <w:spacing w:before="156" w:after="156"/>
      </w:pPr>
      <w:r>
        <w:rPr>
          <w:rFonts w:hint="eastAsia" w:ascii="黑体" w:hAnsi="黑体" w:eastAsia="黑体" w:cs="黑体"/>
        </w:rPr>
        <w:t xml:space="preserve">7.2.1.5  </w:t>
      </w:r>
      <w:r>
        <w:rPr>
          <w:rFonts w:hint="eastAsia"/>
        </w:rPr>
        <w:t>物业服务企业应当建立外来人员登记管理制度，提高小区安保水平。</w:t>
      </w:r>
    </w:p>
    <w:p>
      <w:pPr>
        <w:pStyle w:val="18"/>
        <w:spacing w:before="156" w:after="156"/>
        <w:ind w:left="567" w:hanging="567" w:hangingChars="270"/>
        <w:rPr>
          <w:rFonts w:hAnsi="宋体" w:cs="Times New Roman"/>
        </w:rPr>
      </w:pPr>
      <w:bookmarkStart w:id="94" w:name="_Toc26335"/>
      <w:r>
        <w:rPr>
          <w:rFonts w:hint="eastAsia" w:hAnsi="宋体" w:cs="Times New Roman"/>
        </w:rPr>
        <w:t>7.2.2  建筑安全</w:t>
      </w:r>
      <w:bookmarkEnd w:id="94"/>
    </w:p>
    <w:p>
      <w:pPr>
        <w:pStyle w:val="19"/>
        <w:spacing w:before="156" w:after="156"/>
      </w:pPr>
      <w:r>
        <w:rPr>
          <w:rFonts w:hint="eastAsia" w:ascii="黑体" w:hAnsi="黑体" w:eastAsia="黑体" w:cs="黑体"/>
        </w:rPr>
        <w:t xml:space="preserve">7.2.2.1  </w:t>
      </w:r>
      <w:r>
        <w:rPr>
          <w:rFonts w:hint="eastAsia"/>
        </w:rPr>
        <w:t>市、区市物业主管部门应当完善老旧小区住宅建筑的维修养护政策，加强对房屋维修资金使用的管理宣传，推进基金申请情况公开，规范资金申请使用程序。镇街社区应积极争取各类资源，协调解决老旧小区住宅建筑的资金矛盾。</w:t>
      </w:r>
    </w:p>
    <w:p>
      <w:pPr>
        <w:pStyle w:val="19"/>
        <w:spacing w:before="156" w:after="156"/>
      </w:pPr>
      <w:r>
        <w:rPr>
          <w:rFonts w:hint="eastAsia" w:ascii="黑体" w:hAnsi="黑体" w:eastAsia="黑体" w:cs="黑体"/>
        </w:rPr>
        <w:t xml:space="preserve">7.2.2.2  </w:t>
      </w:r>
      <w:r>
        <w:rPr>
          <w:rFonts w:hint="eastAsia"/>
        </w:rPr>
        <w:t>物业服务企业应加强对建筑内公共空间使用情况的管理，对存在损害公共利益和产生安全隐患的情况，应及时采取措施。对影响小区整体风貌、改变住宅使用用途、私搭乱建等行为，应及时上报街道社区。镇街社区应启动相应机制，联合城市管理执法部门予以纠正。</w:t>
      </w:r>
    </w:p>
    <w:p>
      <w:pPr>
        <w:pStyle w:val="18"/>
        <w:spacing w:before="156" w:after="156"/>
        <w:ind w:left="567" w:hanging="567" w:hangingChars="270"/>
        <w:rPr>
          <w:rFonts w:hAnsi="宋体" w:cs="Times New Roman"/>
        </w:rPr>
      </w:pPr>
      <w:bookmarkStart w:id="95" w:name="_Toc8633"/>
      <w:r>
        <w:rPr>
          <w:rFonts w:hint="eastAsia" w:hAnsi="宋体" w:cs="Times New Roman"/>
        </w:rPr>
        <w:t>7.2.3  公共空间安全</w:t>
      </w:r>
      <w:bookmarkEnd w:id="95"/>
    </w:p>
    <w:p>
      <w:pPr>
        <w:pStyle w:val="19"/>
        <w:spacing w:before="156" w:after="156"/>
      </w:pPr>
      <w:r>
        <w:rPr>
          <w:rFonts w:hint="eastAsia" w:ascii="黑体" w:hAnsi="黑体" w:eastAsia="黑体" w:cs="黑体"/>
        </w:rPr>
        <w:t xml:space="preserve">7.2.3.1  </w:t>
      </w:r>
      <w:r>
        <w:rPr>
          <w:rFonts w:hint="eastAsia"/>
        </w:rPr>
        <w:t>物业服务企业应会同业主委员会，通过人车分流改造、优化交通流线、完善慢行交通组织、加强车辆管理等方式，改善小区交通管理，优化交通秩序。</w:t>
      </w:r>
    </w:p>
    <w:p>
      <w:pPr>
        <w:pStyle w:val="19"/>
        <w:spacing w:before="156" w:after="156"/>
      </w:pPr>
      <w:r>
        <w:rPr>
          <w:rFonts w:hint="eastAsia" w:ascii="黑体" w:hAnsi="黑体" w:eastAsia="黑体" w:cs="黑体"/>
        </w:rPr>
        <w:t xml:space="preserve">7.2.3.2  </w:t>
      </w:r>
      <w:r>
        <w:rPr>
          <w:rFonts w:hint="eastAsia"/>
        </w:rPr>
        <w:t>物业服务企业应当加强公共空间安全防范，制定环境质量监测和建设工程、保洁管理制度，降低居民健康受损风险。</w:t>
      </w:r>
    </w:p>
    <w:p>
      <w:pPr>
        <w:pStyle w:val="19"/>
        <w:spacing w:before="156" w:after="156"/>
      </w:pPr>
      <w:r>
        <w:rPr>
          <w:rFonts w:hint="eastAsia" w:ascii="黑体" w:hAnsi="黑体" w:eastAsia="黑体" w:cs="黑体"/>
        </w:rPr>
        <w:t xml:space="preserve">7.2.3.3  </w:t>
      </w:r>
      <w:r>
        <w:rPr>
          <w:rFonts w:hint="eastAsia"/>
        </w:rPr>
        <w:t>各级物业主管部门、镇街社区应以市级网格化治理信息系统、城市综合管理信息系统及大数据服务应用等为依托，加强住宅小区内人、地、物、组织、事件等的信息实时采集和动态管理，为居民安全提供保障。</w:t>
      </w:r>
    </w:p>
    <w:p>
      <w:pPr>
        <w:pStyle w:val="16"/>
        <w:numPr>
          <w:ilvl w:val="1"/>
          <w:numId w:val="0"/>
        </w:numPr>
        <w:spacing w:before="156" w:after="156"/>
      </w:pPr>
      <w:bookmarkStart w:id="96" w:name="_Toc2348"/>
      <w:bookmarkStart w:id="97" w:name="_Toc72462372"/>
      <w:r>
        <w:rPr>
          <w:rFonts w:hint="eastAsia"/>
          <w:lang w:val="en-US" w:eastAsia="zh-CN"/>
        </w:rPr>
        <w:t xml:space="preserve">7.3  </w:t>
      </w:r>
      <w:r>
        <w:rPr>
          <w:rFonts w:hint="eastAsia"/>
        </w:rPr>
        <w:t>生活便捷</w:t>
      </w:r>
      <w:bookmarkEnd w:id="96"/>
      <w:bookmarkEnd w:id="97"/>
    </w:p>
    <w:p>
      <w:pPr>
        <w:pStyle w:val="18"/>
        <w:spacing w:before="156" w:after="156"/>
        <w:ind w:left="567" w:hanging="567" w:hangingChars="270"/>
        <w:rPr>
          <w:rFonts w:hAnsi="宋体" w:cs="Times New Roman"/>
        </w:rPr>
      </w:pPr>
      <w:bookmarkStart w:id="98" w:name="_Toc27577"/>
      <w:r>
        <w:rPr>
          <w:rFonts w:hint="eastAsia" w:hAnsi="宋体" w:cs="Times New Roman"/>
        </w:rPr>
        <w:t>7.3.1  交通出行便捷</w:t>
      </w:r>
      <w:bookmarkEnd w:id="98"/>
    </w:p>
    <w:p>
      <w:pPr>
        <w:pStyle w:val="19"/>
        <w:spacing w:before="156" w:after="156"/>
      </w:pPr>
      <w:r>
        <w:rPr>
          <w:rFonts w:hint="eastAsia" w:ascii="黑体" w:hAnsi="黑体" w:eastAsia="黑体" w:cs="黑体"/>
        </w:rPr>
        <w:t xml:space="preserve">7.3.1.1  </w:t>
      </w:r>
      <w:r>
        <w:rPr>
          <w:rFonts w:hint="eastAsia"/>
        </w:rPr>
        <w:t>市、区市应依托红色会议联席制度等议事机制，根据小区居住规模、人口结构和出行特点等因素，持续优化公共交通线路组织和站点设置、交通管理信号设施和共享单车停放场地。对住宅小区较为集中的区域，可通过区间运行、定制公交等方式，为小区便捷出行提供多维度保障。</w:t>
      </w:r>
    </w:p>
    <w:p>
      <w:pPr>
        <w:pStyle w:val="19"/>
        <w:spacing w:before="156" w:after="156"/>
      </w:pPr>
      <w:r>
        <w:rPr>
          <w:rFonts w:hint="eastAsia" w:ascii="黑体" w:hAnsi="黑体" w:eastAsia="黑体" w:cs="黑体"/>
        </w:rPr>
        <w:t xml:space="preserve">7.3.1.2  </w:t>
      </w:r>
      <w:r>
        <w:rPr>
          <w:rFonts w:hint="eastAsia"/>
        </w:rPr>
        <w:t>市、区市应发挥统筹协调作用，采取在住宅小区内部和外部增划停车位、设立潮汐停车位、建设立体停车场等办法，解决住宅小区停车难问题。</w:t>
      </w:r>
    </w:p>
    <w:p>
      <w:pPr>
        <w:pStyle w:val="18"/>
        <w:spacing w:before="156" w:after="156"/>
        <w:ind w:left="567" w:hanging="567" w:hangingChars="270"/>
        <w:rPr>
          <w:rFonts w:hAnsi="宋体" w:cs="Times New Roman"/>
        </w:rPr>
      </w:pPr>
      <w:bookmarkStart w:id="99" w:name="_Toc5779"/>
      <w:r>
        <w:rPr>
          <w:rFonts w:hint="eastAsia" w:hAnsi="宋体" w:cs="Times New Roman"/>
        </w:rPr>
        <w:t>7.3.2  公共服务便捷</w:t>
      </w:r>
      <w:bookmarkEnd w:id="99"/>
    </w:p>
    <w:p>
      <w:pPr>
        <w:pStyle w:val="19"/>
        <w:spacing w:before="156" w:after="156"/>
      </w:pPr>
      <w:r>
        <w:rPr>
          <w:rFonts w:hint="eastAsia" w:ascii="黑体" w:hAnsi="黑体" w:eastAsia="黑体" w:cs="黑体"/>
        </w:rPr>
        <w:t xml:space="preserve">7.3.2.1  </w:t>
      </w:r>
      <w:r>
        <w:rPr>
          <w:rFonts w:hint="eastAsia"/>
        </w:rPr>
        <w:t>社区应结合群众公共服务需求，依托社区服务中心、小区物业用房、商业用房等场地设施，积极引入教育培训、幼儿托管、诊所药店、餐饮食堂、超市零售、社区银行、体育健身等市场经营主体，满足居民日常基本公共服务</w:t>
      </w:r>
      <w:r>
        <w:rPr>
          <w:rFonts w:hint="eastAsia"/>
          <w:lang w:eastAsia="zh-CN"/>
        </w:rPr>
        <w:t>需要</w:t>
      </w:r>
      <w:r>
        <w:rPr>
          <w:rFonts w:hint="eastAsia"/>
        </w:rPr>
        <w:t>。</w:t>
      </w:r>
    </w:p>
    <w:p>
      <w:pPr>
        <w:pStyle w:val="19"/>
        <w:spacing w:before="156" w:after="156"/>
      </w:pPr>
      <w:r>
        <w:rPr>
          <w:rFonts w:hint="eastAsia" w:ascii="黑体" w:hAnsi="黑体" w:eastAsia="黑体" w:cs="黑体"/>
        </w:rPr>
        <w:t xml:space="preserve">7.3.2.2  </w:t>
      </w:r>
      <w:r>
        <w:rPr>
          <w:rFonts w:hint="eastAsia"/>
        </w:rPr>
        <w:t>不具备设施配置条件的小区，市、区市应引导大中型公共服务机构建立定期流动供给机制，为居民提供图书阅览、便民服务等常态化活动，物业服务企业应配合提供相应场地组织与服务。物业服务企业也可组织社区团购等活动，提高居民消费的多样性。</w:t>
      </w:r>
    </w:p>
    <w:p>
      <w:pPr>
        <w:pStyle w:val="18"/>
        <w:spacing w:before="156" w:after="156"/>
        <w:ind w:left="567" w:hanging="567" w:hangingChars="270"/>
        <w:rPr>
          <w:rFonts w:hAnsi="宋体" w:cs="Times New Roman"/>
        </w:rPr>
      </w:pPr>
      <w:bookmarkStart w:id="100" w:name="_Toc1783"/>
      <w:r>
        <w:rPr>
          <w:rFonts w:hint="eastAsia" w:hAnsi="宋体" w:cs="Times New Roman"/>
        </w:rPr>
        <w:t>7.3.3  家政服务便捷</w:t>
      </w:r>
      <w:bookmarkEnd w:id="100"/>
    </w:p>
    <w:p>
      <w:pPr>
        <w:pStyle w:val="19"/>
        <w:spacing w:before="156" w:after="156"/>
      </w:pPr>
      <w:r>
        <w:rPr>
          <w:rFonts w:hint="eastAsia" w:ascii="黑体" w:hAnsi="黑体" w:eastAsia="黑体" w:cs="黑体"/>
        </w:rPr>
        <w:t xml:space="preserve">7.3.3.1  </w:t>
      </w:r>
      <w:r>
        <w:rPr>
          <w:rFonts w:hint="eastAsia"/>
        </w:rPr>
        <w:t>物业服务企业可依托接近居民、相互信任的便利条件，探索开展室内保洁、车辆清洁、家庭保姆、幼儿和老人照看、宠物托管等家政服务的中介增值项目，满足居民改善生活质量的</w:t>
      </w:r>
      <w:r>
        <w:rPr>
          <w:rFonts w:hint="eastAsia"/>
          <w:lang w:eastAsia="zh-CN"/>
        </w:rPr>
        <w:t>需要</w:t>
      </w:r>
      <w:r>
        <w:rPr>
          <w:rFonts w:hint="eastAsia"/>
        </w:rPr>
        <w:t>。但物业服务企业不得为业主和其他家政服务主体设定限制性条件。</w:t>
      </w:r>
    </w:p>
    <w:p>
      <w:pPr>
        <w:pStyle w:val="19"/>
        <w:spacing w:before="156" w:after="156"/>
      </w:pPr>
      <w:r>
        <w:rPr>
          <w:rFonts w:hint="eastAsia" w:ascii="黑体" w:hAnsi="黑体" w:eastAsia="黑体" w:cs="黑体"/>
        </w:rPr>
        <w:t xml:space="preserve">7.3.3.2  </w:t>
      </w:r>
      <w:r>
        <w:rPr>
          <w:rFonts w:hint="eastAsia"/>
        </w:rPr>
        <w:t>物业服务企业应加强家政服务人员进入小区的登记管理，加强居民财产安全监测，维护业主合法权益。</w:t>
      </w:r>
    </w:p>
    <w:bookmarkEnd w:id="85"/>
    <w:bookmarkEnd w:id="86"/>
    <w:p>
      <w:pPr>
        <w:pStyle w:val="16"/>
        <w:numPr>
          <w:ilvl w:val="1"/>
          <w:numId w:val="0"/>
        </w:numPr>
        <w:spacing w:before="156" w:after="156"/>
        <w:rPr>
          <w:rFonts w:hint="eastAsia" w:eastAsia="黑体"/>
          <w:lang w:eastAsia="zh-CN"/>
        </w:rPr>
      </w:pPr>
      <w:bookmarkStart w:id="101" w:name="_Toc72462366"/>
      <w:bookmarkStart w:id="102" w:name="_Toc24730"/>
      <w:r>
        <w:rPr>
          <w:rFonts w:hint="eastAsia"/>
          <w:lang w:val="en-US" w:eastAsia="zh-CN"/>
        </w:rPr>
        <w:t xml:space="preserve">7.4  </w:t>
      </w:r>
      <w:r>
        <w:rPr>
          <w:rFonts w:hint="eastAsia"/>
        </w:rPr>
        <w:t>文化</w:t>
      </w:r>
      <w:bookmarkEnd w:id="101"/>
      <w:bookmarkEnd w:id="102"/>
      <w:r>
        <w:rPr>
          <w:rFonts w:hint="eastAsia"/>
          <w:lang w:eastAsia="zh-CN"/>
        </w:rPr>
        <w:t>建设</w:t>
      </w:r>
    </w:p>
    <w:p>
      <w:pPr>
        <w:pStyle w:val="18"/>
        <w:spacing w:before="156" w:after="156"/>
        <w:ind w:left="567" w:hanging="567" w:hangingChars="270"/>
        <w:rPr>
          <w:rFonts w:hAnsi="宋体" w:cs="Times New Roman"/>
        </w:rPr>
      </w:pPr>
      <w:bookmarkStart w:id="103" w:name="_Toc2273"/>
      <w:r>
        <w:rPr>
          <w:rFonts w:hint="eastAsia" w:hAnsi="宋体" w:cs="Times New Roman"/>
        </w:rPr>
        <w:t>7.4.1  优秀传统历史文化</w:t>
      </w:r>
      <w:bookmarkEnd w:id="103"/>
    </w:p>
    <w:p>
      <w:pPr>
        <w:pStyle w:val="19"/>
        <w:spacing w:before="156" w:after="156"/>
        <w:ind w:firstLine="420" w:firstLineChars="200"/>
      </w:pPr>
      <w:r>
        <w:rPr>
          <w:rFonts w:hint="eastAsia"/>
        </w:rPr>
        <w:t>市、区市、镇街社区、物业服务企业和社群组织，应当利用演出舞台、家长学校、未成年学校、宣传长廊、阅报栏、宣传栏等平台载体，积极组织开展丰富多彩的社区文化活动，加强红色革命文化、中华传统优秀文化、地方特色文化等的宣传、展示和推广，弘扬社会主义核心价值观，营造浓厚的文化氛围。</w:t>
      </w:r>
    </w:p>
    <w:p>
      <w:pPr>
        <w:pStyle w:val="18"/>
        <w:spacing w:before="156" w:after="156"/>
        <w:ind w:left="567" w:hanging="567" w:hangingChars="270"/>
        <w:rPr>
          <w:rFonts w:hAnsi="宋体" w:cs="Times New Roman"/>
        </w:rPr>
      </w:pPr>
      <w:bookmarkStart w:id="104" w:name="_Toc2649"/>
      <w:r>
        <w:rPr>
          <w:rFonts w:hint="eastAsia" w:hAnsi="宋体" w:cs="Times New Roman"/>
        </w:rPr>
        <w:t>7.4.2  社区睦邻文化</w:t>
      </w:r>
      <w:bookmarkEnd w:id="104"/>
    </w:p>
    <w:p>
      <w:pPr>
        <w:pStyle w:val="19"/>
        <w:spacing w:before="156" w:after="156"/>
        <w:ind w:firstLine="420" w:firstLineChars="200"/>
      </w:pPr>
      <w:r>
        <w:rPr>
          <w:rFonts w:hint="eastAsia"/>
        </w:rPr>
        <w:t>社区、网格（小区）、物业服务企业</w:t>
      </w:r>
      <w:r>
        <w:rPr>
          <w:rFonts w:hint="eastAsia"/>
          <w:lang w:eastAsia="zh-CN"/>
        </w:rPr>
        <w:t>应</w:t>
      </w:r>
      <w:r>
        <w:rPr>
          <w:rFonts w:hint="eastAsia"/>
        </w:rPr>
        <w:t>通过规范引导小区社群组织开展各类活动、举办惠民进社区服务活动和社区睦邻文化节等方式，弘扬以邻为伴、以邻为善、以德为邻的道德规范，倡导邻里之间互知、互敬、互帮、互信、互促，引导居民群众树立“以社区为家”、“以社区为荣”的意识，加深邻里情感交流，建立和谐和睦社区。</w:t>
      </w:r>
    </w:p>
    <w:p>
      <w:pPr>
        <w:pStyle w:val="18"/>
        <w:spacing w:before="156" w:after="156"/>
        <w:ind w:left="567" w:hanging="567" w:hangingChars="270"/>
        <w:rPr>
          <w:rFonts w:hAnsi="宋体" w:cs="Times New Roman"/>
        </w:rPr>
      </w:pPr>
      <w:bookmarkStart w:id="105" w:name="_Toc26934"/>
      <w:r>
        <w:rPr>
          <w:rFonts w:hint="eastAsia" w:hAnsi="宋体" w:cs="Times New Roman"/>
        </w:rPr>
        <w:t>7.4.3  社区红色物业文化</w:t>
      </w:r>
      <w:bookmarkEnd w:id="105"/>
    </w:p>
    <w:p>
      <w:pPr>
        <w:pStyle w:val="19"/>
        <w:spacing w:before="156" w:after="156"/>
      </w:pPr>
      <w:r>
        <w:rPr>
          <w:rFonts w:hint="eastAsia" w:ascii="黑体" w:hAnsi="黑体" w:eastAsia="黑体" w:cs="黑体"/>
        </w:rPr>
        <w:t xml:space="preserve">7.4.3.1  </w:t>
      </w:r>
      <w:r>
        <w:rPr>
          <w:rFonts w:hint="eastAsia"/>
        </w:rPr>
        <w:t>鼓励小区设立红色物业文化展示长廊，推进红色物业</w:t>
      </w:r>
      <w:r>
        <w:rPr>
          <w:rFonts w:hint="eastAsia"/>
        </w:rPr>
        <w:tab/>
      </w:r>
      <w:r>
        <w:rPr>
          <w:rFonts w:hint="eastAsia"/>
        </w:rPr>
        <w:t>LOGO、吉祥物及各类温馨提示标牌全覆盖。在小区主出入口、业主休闲场所、公共通道等重点位置，应当统筹设置红色物业服务公示栏、红色物业标志、红色物业服务场景宣传栏，展示企业管理文化和邻里和谐文化等。小区客服中心主题墙由各区市根据区域文化特点，突出区域红色物业内涵，统一命名，如：主题“红色物业 情暖家园”，侧题原则上统一为“XXX小区业主服务站+企业全称”，成立党支部的企业或项目，应当加挂党组织全称牌子。</w:t>
      </w:r>
    </w:p>
    <w:p>
      <w:pPr>
        <w:pStyle w:val="19"/>
        <w:spacing w:before="156" w:after="156"/>
      </w:pPr>
      <w:r>
        <w:rPr>
          <w:rFonts w:hint="eastAsia" w:ascii="黑体" w:hAnsi="黑体" w:eastAsia="黑体" w:cs="黑体"/>
        </w:rPr>
        <w:t xml:space="preserve">7.4.3.2  </w:t>
      </w:r>
      <w:r>
        <w:rPr>
          <w:rFonts w:hint="eastAsia"/>
        </w:rPr>
        <w:t>具备条件的客服场所，应统一设置“红色物业3米微笑服务提示线”，客服台设立红色物业志愿者岗、文明服务志愿岗标识。客服场所入门、出门把手处分别设置“党徽+党建引领红色物业”，“Logo+红色物业提示内容”等标识。</w:t>
      </w:r>
    </w:p>
    <w:p>
      <w:pPr>
        <w:pStyle w:val="19"/>
        <w:spacing w:before="156" w:after="156"/>
      </w:pPr>
      <w:r>
        <w:rPr>
          <w:rFonts w:hint="eastAsia" w:ascii="黑体" w:hAnsi="黑体" w:eastAsia="黑体" w:cs="黑体"/>
        </w:rPr>
        <w:t xml:space="preserve">7.4.3.3  </w:t>
      </w:r>
      <w:r>
        <w:rPr>
          <w:rFonts w:hint="eastAsia"/>
        </w:rPr>
        <w:t>专业设施应采取定期排查安全隐患措施，全面设置“党徽+党建引领红色物业+红色物业警示内容”警示提示牌。物业管理区域内通风、通水管线等设施应进行统一标识，设备间有统一的管理制度、工作记录、负责人姓名、照片、操作手册、红色物业标识。</w:t>
      </w:r>
    </w:p>
    <w:p>
      <w:pPr>
        <w:pStyle w:val="16"/>
        <w:numPr>
          <w:ilvl w:val="1"/>
          <w:numId w:val="0"/>
        </w:numPr>
        <w:spacing w:before="156" w:after="156"/>
      </w:pPr>
      <w:r>
        <w:rPr>
          <w:rFonts w:hint="eastAsia"/>
          <w:lang w:val="en-US" w:eastAsia="zh-CN"/>
        </w:rPr>
        <w:t xml:space="preserve">7.5  </w:t>
      </w:r>
      <w:r>
        <w:rPr>
          <w:rFonts w:hint="eastAsia"/>
        </w:rPr>
        <w:t>智慧建设</w:t>
      </w:r>
    </w:p>
    <w:p>
      <w:pPr>
        <w:pStyle w:val="18"/>
        <w:spacing w:before="156" w:after="156"/>
        <w:ind w:left="567" w:hanging="567" w:hangingChars="270"/>
        <w:rPr>
          <w:rFonts w:hAnsi="宋体" w:cs="Times New Roman"/>
        </w:rPr>
      </w:pPr>
      <w:bookmarkStart w:id="106" w:name="_Toc26589"/>
      <w:r>
        <w:rPr>
          <w:rFonts w:hint="eastAsia" w:hAnsi="宋体" w:cs="Times New Roman"/>
        </w:rPr>
        <w:t>7.5.1  住宅小区智慧化改造</w:t>
      </w:r>
      <w:bookmarkEnd w:id="106"/>
    </w:p>
    <w:p>
      <w:pPr>
        <w:pStyle w:val="19"/>
        <w:spacing w:before="156" w:after="156"/>
        <w:ind w:firstLine="420" w:firstLineChars="200"/>
      </w:pPr>
      <w:r>
        <w:rPr>
          <w:rFonts w:hint="eastAsia"/>
        </w:rPr>
        <w:t>推进老旧小区智慧化改造。改造后老旧小区</w:t>
      </w:r>
      <w:r>
        <w:rPr>
          <w:rFonts w:hint="eastAsia"/>
          <w:lang w:eastAsia="zh-CN"/>
        </w:rPr>
        <w:t>应</w:t>
      </w:r>
      <w:r>
        <w:rPr>
          <w:rFonts w:hint="eastAsia"/>
        </w:rPr>
        <w:t>全部达到三星级智慧标准，并与智慧管理平台对接。新建小区</w:t>
      </w:r>
      <w:r>
        <w:rPr>
          <w:rFonts w:hint="eastAsia"/>
          <w:lang w:eastAsia="zh-CN"/>
        </w:rPr>
        <w:t>应</w:t>
      </w:r>
      <w:r>
        <w:rPr>
          <w:rFonts w:hint="eastAsia"/>
        </w:rPr>
        <w:t>达到四星级智慧标准。</w:t>
      </w:r>
    </w:p>
    <w:p>
      <w:pPr>
        <w:pStyle w:val="18"/>
        <w:spacing w:before="156" w:after="156"/>
        <w:ind w:left="567" w:hanging="567" w:hangingChars="270"/>
        <w:rPr>
          <w:rFonts w:hAnsi="宋体" w:cs="Times New Roman"/>
        </w:rPr>
      </w:pPr>
      <w:bookmarkStart w:id="107" w:name="_Toc31678"/>
      <w:r>
        <w:rPr>
          <w:rFonts w:hint="eastAsia" w:hAnsi="宋体" w:cs="Times New Roman"/>
        </w:rPr>
        <w:t>7.5.2  智能互联基础设施建设</w:t>
      </w:r>
      <w:bookmarkEnd w:id="107"/>
    </w:p>
    <w:p>
      <w:pPr>
        <w:pStyle w:val="19"/>
        <w:spacing w:before="156" w:after="156"/>
      </w:pPr>
      <w:r>
        <w:rPr>
          <w:rFonts w:hint="eastAsia" w:ascii="黑体" w:hAnsi="黑体" w:eastAsia="黑体" w:cs="黑体"/>
        </w:rPr>
        <w:t xml:space="preserve">7.5.2.1  </w:t>
      </w:r>
      <w:r>
        <w:rPr>
          <w:rFonts w:hint="eastAsia"/>
        </w:rPr>
        <w:t>网络基础设施建设。推进“光纤入户、千兆示范”，提升小区和家庭互联网宽带接入能力。推进移动网络建设，实现室内外区域、楼梯电梯、地下空间手机信号无缝覆盖。加快推进5G网络建设和商用进程，完善小区综合布线系统，统一部署各类数据传输网络，满足多家通信运营商接入需求。</w:t>
      </w:r>
    </w:p>
    <w:p>
      <w:pPr>
        <w:pStyle w:val="19"/>
        <w:spacing w:before="156" w:after="156"/>
      </w:pPr>
      <w:r>
        <w:rPr>
          <w:rFonts w:hint="eastAsia" w:ascii="黑体" w:hAnsi="黑体" w:eastAsia="黑体" w:cs="黑体"/>
        </w:rPr>
        <w:t xml:space="preserve">7.5.2.2  </w:t>
      </w:r>
      <w:r>
        <w:rPr>
          <w:rFonts w:hint="eastAsia"/>
        </w:rPr>
        <w:t>物联基础设置建设。推进传统机械式水、电、气、暖计量装置改造升级，加快远程抄表控制系统建设。推进电动车和汽车智能充电系统建设，普及智能快递柜、智能垃圾分类箱、无人售卖机、无人图书借阅机等自助终端设施，为小区居民提供便捷生活服务。推进小区信息提示屏、公共应急广播、环境监测等系统建设，实现公共信息及时发布。</w:t>
      </w:r>
    </w:p>
    <w:p>
      <w:pPr>
        <w:pStyle w:val="18"/>
        <w:spacing w:before="156" w:after="156"/>
        <w:ind w:left="567" w:hanging="567" w:hangingChars="270"/>
        <w:rPr>
          <w:rFonts w:hAnsi="宋体" w:cs="Times New Roman"/>
        </w:rPr>
      </w:pPr>
      <w:bookmarkStart w:id="108" w:name="_Toc11584"/>
      <w:r>
        <w:rPr>
          <w:rFonts w:hint="eastAsia" w:hAnsi="宋体" w:cs="Times New Roman"/>
        </w:rPr>
        <w:t>7.5.3  智慧管理平台建设</w:t>
      </w:r>
      <w:bookmarkEnd w:id="108"/>
    </w:p>
    <w:p>
      <w:pPr>
        <w:pStyle w:val="19"/>
        <w:spacing w:before="156" w:after="156"/>
        <w:ind w:firstLine="420" w:firstLineChars="200"/>
      </w:pPr>
      <w:r>
        <w:rPr>
          <w:rFonts w:hint="eastAsia"/>
        </w:rPr>
        <w:t>综合运用大数据、云计算等技术搭建具有日常监督、登记备案、信用信息管理、住宅专项维修资金监管等功能的全市智慧物业综合信息服务平台，开发APP客户端，建设红色物业大数据中心，实现物业管理智慧缴费、智慧报修、智慧投诉、智慧投票以及行业诚信智慧考核，进行信息有序汇聚、深度共享和数据关联分析、高效处理，为物业企业开展商务服务、家政服务、房屋租赁等新型物业服务提供精准数据信息，实现传统物业向智慧物业迁跃升级。</w:t>
      </w:r>
    </w:p>
    <w:p>
      <w:pPr>
        <w:pStyle w:val="14"/>
        <w:spacing w:before="312" w:after="312"/>
        <w:rPr>
          <w:szCs w:val="21"/>
        </w:rPr>
      </w:pPr>
      <w:bookmarkStart w:id="109" w:name="_Toc9289"/>
      <w:r>
        <w:rPr>
          <w:rFonts w:hint="eastAsia"/>
          <w:szCs w:val="21"/>
        </w:rPr>
        <w:t>美好共享</w:t>
      </w:r>
      <w:bookmarkEnd w:id="109"/>
    </w:p>
    <w:p>
      <w:pPr>
        <w:pStyle w:val="16"/>
        <w:numPr>
          <w:ilvl w:val="1"/>
          <w:numId w:val="0"/>
        </w:numPr>
        <w:spacing w:before="156" w:after="156"/>
      </w:pPr>
      <w:r>
        <w:rPr>
          <w:rFonts w:hint="eastAsia"/>
          <w:lang w:val="en-US" w:eastAsia="zh-CN"/>
        </w:rPr>
        <w:t xml:space="preserve">8.1  </w:t>
      </w:r>
      <w:r>
        <w:rPr>
          <w:rFonts w:hint="eastAsia"/>
        </w:rPr>
        <w:t>示范引领</w:t>
      </w:r>
    </w:p>
    <w:p>
      <w:pPr>
        <w:pStyle w:val="18"/>
        <w:spacing w:before="156" w:after="156"/>
        <w:ind w:left="567" w:hanging="567" w:hangingChars="270"/>
        <w:rPr>
          <w:rFonts w:hAnsi="宋体" w:cs="Times New Roman"/>
        </w:rPr>
      </w:pPr>
      <w:r>
        <w:rPr>
          <w:rFonts w:hint="eastAsia" w:hAnsi="宋体" w:cs="Times New Roman"/>
        </w:rPr>
        <w:t>8.1.1  “红色引擎”示范创建</w:t>
      </w:r>
    </w:p>
    <w:p>
      <w:pPr>
        <w:pStyle w:val="19"/>
        <w:spacing w:before="156" w:after="156"/>
        <w:ind w:firstLine="420" w:firstLineChars="200"/>
      </w:pPr>
      <w:r>
        <w:rPr>
          <w:rFonts w:hint="eastAsia"/>
        </w:rPr>
        <w:t>聚焦党建工作、制度落实、环境营造、服务品质、红色引擎满意度指数等方面，开展示范引领行动，培育红色物业示范小区标杆。市及区市</w:t>
      </w:r>
      <w:r>
        <w:rPr>
          <w:rFonts w:hint="eastAsia"/>
          <w:lang w:eastAsia="zh-CN"/>
        </w:rPr>
        <w:t>应</w:t>
      </w:r>
      <w:r>
        <w:rPr>
          <w:rFonts w:hint="eastAsia"/>
        </w:rPr>
        <w:t>对“红色引擎”示范点在直接联系、重点服务、资金支持、强化宣传等方面予以倾斜。</w:t>
      </w:r>
    </w:p>
    <w:p>
      <w:pPr>
        <w:pStyle w:val="18"/>
        <w:spacing w:before="156" w:after="156"/>
        <w:ind w:left="567" w:hanging="567" w:hangingChars="270"/>
        <w:rPr>
          <w:rFonts w:hAnsi="宋体" w:cs="Times New Roman"/>
        </w:rPr>
      </w:pPr>
      <w:r>
        <w:rPr>
          <w:rFonts w:hint="eastAsia" w:hAnsi="宋体" w:cs="Times New Roman"/>
        </w:rPr>
        <w:t>8.1.2  “全域物业一片红”示范镇街（社区）建设</w:t>
      </w:r>
    </w:p>
    <w:p>
      <w:pPr>
        <w:pStyle w:val="19"/>
        <w:spacing w:before="156" w:after="156"/>
        <w:ind w:firstLine="420" w:firstLineChars="200"/>
        <w:rPr>
          <w:rFonts w:hint="eastAsia"/>
        </w:rPr>
      </w:pPr>
      <w:r>
        <w:rPr>
          <w:rFonts w:hint="eastAsia"/>
        </w:rPr>
        <w:t>培育红色物业全域高质量覆盖典型，推出一批示范镇街和社区。加强对示范镇街（社区）的宣传推广，形成典型带动全面促进的效应。</w:t>
      </w:r>
    </w:p>
    <w:p>
      <w:pPr>
        <w:pStyle w:val="16"/>
        <w:numPr>
          <w:ilvl w:val="1"/>
          <w:numId w:val="0"/>
        </w:numPr>
        <w:spacing w:before="156" w:after="156"/>
      </w:pPr>
      <w:bookmarkStart w:id="110" w:name="_Toc72462373"/>
      <w:bookmarkStart w:id="111" w:name="_Toc27044"/>
      <w:r>
        <w:rPr>
          <w:rFonts w:hint="eastAsia"/>
          <w:lang w:val="en-US" w:eastAsia="zh-CN"/>
        </w:rPr>
        <w:t xml:space="preserve">8.2  </w:t>
      </w:r>
      <w:r>
        <w:rPr>
          <w:rFonts w:hint="eastAsia"/>
        </w:rPr>
        <w:t>幸福</w:t>
      </w:r>
      <w:bookmarkEnd w:id="110"/>
      <w:r>
        <w:rPr>
          <w:rFonts w:hint="eastAsia"/>
        </w:rPr>
        <w:t>和谐</w:t>
      </w:r>
      <w:bookmarkEnd w:id="111"/>
    </w:p>
    <w:p>
      <w:pPr>
        <w:pStyle w:val="18"/>
        <w:spacing w:before="156" w:after="156"/>
        <w:ind w:left="567" w:hanging="567" w:hangingChars="270"/>
        <w:rPr>
          <w:rFonts w:hAnsi="宋体" w:cs="Times New Roman"/>
        </w:rPr>
      </w:pPr>
      <w:bookmarkStart w:id="112" w:name="_Toc20990"/>
      <w:r>
        <w:rPr>
          <w:rFonts w:hint="eastAsia" w:hAnsi="宋体" w:cs="Times New Roman"/>
        </w:rPr>
        <w:t>8.2.1  物业服务满意</w:t>
      </w:r>
      <w:bookmarkEnd w:id="112"/>
    </w:p>
    <w:p>
      <w:pPr>
        <w:pStyle w:val="19"/>
        <w:spacing w:before="156" w:after="156"/>
      </w:pPr>
      <w:r>
        <w:rPr>
          <w:rFonts w:hint="eastAsia" w:ascii="黑体" w:hAnsi="黑体" w:eastAsia="黑体" w:cs="黑体"/>
        </w:rPr>
        <w:t xml:space="preserve">8.2.1.1  </w:t>
      </w:r>
      <w:r>
        <w:rPr>
          <w:rFonts w:hint="eastAsia"/>
        </w:rPr>
        <w:t>物业服务态度真诚。物业项目（小区）负责人应佩戴实名制胸卡（胸牌），做到熟悉业务，履约守信，勤于协调，管理有序。严格执行每日自查，采取电话或走访的方式加强与业主住户的沟通，并做好书面记录，每年走访不低于总户数的50%。客服人员</w:t>
      </w:r>
      <w:r>
        <w:rPr>
          <w:rFonts w:hint="eastAsia"/>
          <w:lang w:eastAsia="zh-CN"/>
        </w:rPr>
        <w:t>应</w:t>
      </w:r>
      <w:r>
        <w:rPr>
          <w:rFonts w:hint="eastAsia"/>
        </w:rPr>
        <w:t>做到热情主动，登记准确，处置及时，事后回访，秩序人员</w:t>
      </w:r>
      <w:r>
        <w:rPr>
          <w:rFonts w:hint="eastAsia"/>
          <w:lang w:eastAsia="zh-CN"/>
        </w:rPr>
        <w:t>应</w:t>
      </w:r>
      <w:r>
        <w:rPr>
          <w:rFonts w:hint="eastAsia"/>
        </w:rPr>
        <w:t>做到在岗尽责，防范到位，引导得当，举止文明。清洁人员</w:t>
      </w:r>
      <w:r>
        <w:rPr>
          <w:rFonts w:hint="eastAsia"/>
          <w:lang w:eastAsia="zh-CN"/>
        </w:rPr>
        <w:t>应</w:t>
      </w:r>
      <w:r>
        <w:rPr>
          <w:rFonts w:hint="eastAsia"/>
        </w:rPr>
        <w:t>做到按时保洁，垃圾日清，定期灭害，环境整洁。维修人员</w:t>
      </w:r>
      <w:r>
        <w:rPr>
          <w:rFonts w:hint="eastAsia"/>
          <w:lang w:eastAsia="zh-CN"/>
        </w:rPr>
        <w:t>应</w:t>
      </w:r>
      <w:r>
        <w:rPr>
          <w:rFonts w:hint="eastAsia"/>
        </w:rPr>
        <w:t>做到约时不误，工完料清，住户签收，件件落实。绿养人员</w:t>
      </w:r>
      <w:r>
        <w:rPr>
          <w:rFonts w:hint="eastAsia"/>
          <w:lang w:eastAsia="zh-CN"/>
        </w:rPr>
        <w:t>应</w:t>
      </w:r>
      <w:r>
        <w:rPr>
          <w:rFonts w:hint="eastAsia"/>
        </w:rPr>
        <w:t>做到及时灌溉，按时修剪，清除杂草，防治虫害。公共秩序员</w:t>
      </w:r>
      <w:r>
        <w:rPr>
          <w:rFonts w:hint="eastAsia"/>
          <w:lang w:eastAsia="zh-CN"/>
        </w:rPr>
        <w:t>应</w:t>
      </w:r>
      <w:r>
        <w:rPr>
          <w:rFonts w:hint="eastAsia"/>
        </w:rPr>
        <w:t>佩戴统一的“社区协管员或红色物业秩序员”红袖箍，做到准时上岗，举止规范，爱岗敬业。</w:t>
      </w:r>
    </w:p>
    <w:p>
      <w:pPr>
        <w:pStyle w:val="19"/>
        <w:spacing w:before="156" w:after="156"/>
      </w:pPr>
      <w:r>
        <w:rPr>
          <w:rFonts w:hint="eastAsia" w:ascii="黑体" w:hAnsi="黑体" w:eastAsia="黑体" w:cs="黑体"/>
        </w:rPr>
        <w:t xml:space="preserve">8.2.1.2  </w:t>
      </w:r>
      <w:r>
        <w:rPr>
          <w:rFonts w:hint="eastAsia"/>
        </w:rPr>
        <w:t>物业服务供给创新。物业服务企业应持续倾听居民诉求，合理扩展服务内容，以契约化方式向社区教育、社区文化活动、社区公共空间品质提升等准公共产品性质的服务类型延伸，由单一的标准化服务向标准化与定制化服务相结合、由单一的物理环境服务向物理与虚拟环境服务相结合、由单一的居民体外感知服务向身心情感并重的服务转变，不断提升群众的获得感幸福感。</w:t>
      </w:r>
    </w:p>
    <w:p>
      <w:pPr>
        <w:pStyle w:val="18"/>
        <w:spacing w:before="156" w:after="156"/>
        <w:ind w:left="567" w:hanging="567" w:hangingChars="270"/>
        <w:rPr>
          <w:rFonts w:hAnsi="宋体" w:cs="Times New Roman"/>
        </w:rPr>
      </w:pPr>
      <w:bookmarkStart w:id="113" w:name="_Toc9213"/>
      <w:r>
        <w:rPr>
          <w:rFonts w:hint="eastAsia" w:hAnsi="宋体" w:cs="Times New Roman"/>
        </w:rPr>
        <w:t>8.2.2  业主主体地位有保障</w:t>
      </w:r>
      <w:bookmarkEnd w:id="113"/>
    </w:p>
    <w:p>
      <w:pPr>
        <w:pStyle w:val="19"/>
        <w:spacing w:before="156" w:after="156"/>
      </w:pPr>
      <w:r>
        <w:rPr>
          <w:rFonts w:hint="eastAsia" w:ascii="黑体" w:hAnsi="黑体" w:eastAsia="黑体" w:cs="黑体"/>
        </w:rPr>
        <w:t xml:space="preserve">8.2.2.1  </w:t>
      </w:r>
      <w:r>
        <w:rPr>
          <w:rFonts w:hint="eastAsia"/>
        </w:rPr>
        <w:t>诉求表达渠道多元。综合运用线上线下各种信息平台、议事载体，建立多元化问题反映渠道，让居民群众和广大业主的“烦心事”和合理诉求第一时间有人听、有人管、有人回复。</w:t>
      </w:r>
    </w:p>
    <w:p>
      <w:pPr>
        <w:pStyle w:val="19"/>
        <w:spacing w:before="156" w:after="156"/>
      </w:pPr>
      <w:r>
        <w:rPr>
          <w:rFonts w:hint="eastAsia" w:ascii="黑体" w:hAnsi="黑体" w:eastAsia="黑体" w:cs="黑体"/>
        </w:rPr>
        <w:t xml:space="preserve">8.2.2.2  </w:t>
      </w:r>
      <w:r>
        <w:rPr>
          <w:rFonts w:hint="eastAsia"/>
        </w:rPr>
        <w:t>参与治理通道畅通。建立业主多渠道参与小区公共事物和红色物业治理的渠道，让业主对包括红色物业工作之内的小区公共事务和议程有知情权、参与权、发言权，并可以通过业主委员会工作程序参与个人关注问题的协商、决策。</w:t>
      </w:r>
    </w:p>
    <w:p>
      <w:pPr>
        <w:pStyle w:val="19"/>
        <w:spacing w:before="156" w:after="156"/>
      </w:pPr>
      <w:r>
        <w:rPr>
          <w:rFonts w:hint="eastAsia" w:ascii="黑体" w:hAnsi="黑体" w:eastAsia="黑体" w:cs="黑体"/>
        </w:rPr>
        <w:t xml:space="preserve">8.2.2.3  </w:t>
      </w:r>
      <w:r>
        <w:rPr>
          <w:rFonts w:hint="eastAsia"/>
        </w:rPr>
        <w:t>业主权利得到落实。依法依规保障业主大会罢免物业服务企业的合法权利，建立街道社区法律援助机制，增强业主主体感。</w:t>
      </w:r>
    </w:p>
    <w:p>
      <w:pPr>
        <w:pStyle w:val="19"/>
        <w:spacing w:before="156" w:after="156"/>
      </w:pPr>
      <w:r>
        <w:rPr>
          <w:rFonts w:hint="eastAsia" w:ascii="黑体" w:hAnsi="黑体" w:eastAsia="黑体" w:cs="黑体"/>
        </w:rPr>
        <w:t xml:space="preserve">8.2.2.4  </w:t>
      </w:r>
      <w:r>
        <w:rPr>
          <w:rFonts w:hint="eastAsia"/>
        </w:rPr>
        <w:t>业主评价意见得到重视。物业主管部门在制定物业服务质量考核评价办法时，应广泛征求业主意见，确保业主评价分值占80%以上。</w:t>
      </w:r>
    </w:p>
    <w:p>
      <w:pPr>
        <w:pStyle w:val="18"/>
        <w:spacing w:before="156" w:after="156"/>
        <w:ind w:left="567" w:hanging="567" w:hangingChars="270"/>
        <w:rPr>
          <w:rFonts w:hAnsi="宋体" w:cs="Times New Roman"/>
        </w:rPr>
      </w:pPr>
      <w:bookmarkStart w:id="114" w:name="_Toc6220"/>
      <w:r>
        <w:rPr>
          <w:rFonts w:hint="eastAsia" w:hAnsi="宋体" w:cs="Times New Roman"/>
        </w:rPr>
        <w:t>8.2.3  人际关系和谐</w:t>
      </w:r>
      <w:bookmarkEnd w:id="114"/>
    </w:p>
    <w:p>
      <w:pPr>
        <w:pStyle w:val="19"/>
        <w:spacing w:before="156" w:after="156"/>
      </w:pPr>
      <w:r>
        <w:rPr>
          <w:rFonts w:hint="eastAsia" w:ascii="黑体" w:hAnsi="黑体" w:eastAsia="黑体" w:cs="黑体"/>
        </w:rPr>
        <w:t xml:space="preserve">8.2.3.1  </w:t>
      </w:r>
      <w:r>
        <w:rPr>
          <w:rFonts w:hint="eastAsia"/>
        </w:rPr>
        <w:t>加强与业主的日常沟通交流。社区、网格（小区）党组织、业主委员会、物业服务企业应因地制宜，通过开展节日文艺汇演、社区趣味运动会、艺术作品创作、公益志愿行动等，以活动为媒加深社区居委会、物业服务企业、业主委员会等居民们的交流互动和情感认同，促进参与物业管理服务的各方关系和谐。</w:t>
      </w:r>
    </w:p>
    <w:p>
      <w:pPr>
        <w:pStyle w:val="19"/>
        <w:spacing w:before="156" w:after="156"/>
      </w:pPr>
      <w:r>
        <w:rPr>
          <w:rFonts w:hint="eastAsia" w:ascii="黑体" w:hAnsi="黑体" w:eastAsia="黑体" w:cs="黑体"/>
        </w:rPr>
        <w:t xml:space="preserve">8.2.3.2  </w:t>
      </w:r>
      <w:r>
        <w:rPr>
          <w:rFonts w:hint="eastAsia"/>
        </w:rPr>
        <w:t>建立矛盾纠纷化解机制。发挥网格（小区）管理员、小巷管家、楼长、退休党员以及专业司法调解人员、提供专业服务的“红色物业合伙人”的作用，及早发现和处理小区内乱搭乱建、占用公共设施、噪音污染、违规饲养动物等行为和各类矛盾纠纷，营造文明和谐的人际和居住环境。</w:t>
      </w:r>
    </w:p>
    <w:p>
      <w:pPr>
        <w:pStyle w:val="18"/>
        <w:spacing w:before="156" w:after="156"/>
        <w:ind w:left="567" w:hanging="567" w:hangingChars="270"/>
        <w:rPr>
          <w:rFonts w:hAnsi="宋体" w:cs="Times New Roman"/>
        </w:rPr>
      </w:pPr>
      <w:bookmarkStart w:id="115" w:name="_Toc6700"/>
      <w:r>
        <w:rPr>
          <w:rFonts w:hint="eastAsia" w:hAnsi="宋体" w:cs="Times New Roman"/>
        </w:rPr>
        <w:t>8.2.4  开展满意度调查</w:t>
      </w:r>
      <w:bookmarkEnd w:id="115"/>
    </w:p>
    <w:p>
      <w:pPr>
        <w:pStyle w:val="19"/>
        <w:spacing w:before="156" w:after="156"/>
        <w:ind w:firstLine="420" w:firstLineChars="200"/>
      </w:pPr>
      <w:r>
        <w:rPr>
          <w:rFonts w:hint="eastAsia"/>
        </w:rPr>
        <w:t>市、区市物业主管部门应通过独立、联合相关部门或委托第三方机构等形式，通过问卷调查、电话调查、网络调查等多种途径，周期性开展红色物业工作群众满意度调查。满意度调查应涵盖市、区市总体评价，镇街社区工作评价、住宅小区评价、业主委员会评价、物业服务企业评价等。满意度调查结果应与部门和镇街社区、业主委员会、物业服务企业的年度综合考核相挂钩。</w:t>
      </w:r>
    </w:p>
    <w:p>
      <w:pPr>
        <w:pStyle w:val="19"/>
        <w:numPr>
          <w:ilvl w:val="0"/>
          <w:numId w:val="0"/>
        </w:numPr>
        <w:spacing w:before="156" w:after="156"/>
      </w:pPr>
    </w:p>
    <w:p>
      <w:pPr>
        <w:pStyle w:val="24"/>
        <w:framePr w:y="1"/>
        <w:ind w:firstLine="420"/>
        <w:rPr>
          <w:szCs w:val="21"/>
        </w:rPr>
      </w:pPr>
      <w:r>
        <w:rPr>
          <w:szCs w:val="21"/>
        </w:rPr>
        <w:t>_________________________________</w:t>
      </w:r>
    </w:p>
    <w:p>
      <w:pPr>
        <w:pStyle w:val="19"/>
        <w:numPr>
          <w:ilvl w:val="0"/>
          <w:numId w:val="0"/>
        </w:numPr>
        <w:spacing w:before="156" w:after="156"/>
      </w:pPr>
    </w:p>
    <w:sectPr>
      <w:pgSz w:w="11906" w:h="16838"/>
      <w:pgMar w:top="567" w:right="1134" w:bottom="1134" w:left="1418" w:header="1417" w:footer="1020" w:gutter="0"/>
      <w:pgNumType w:start="1"/>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jc w:val="right"/>
    </w:pPr>
    <w:r>
      <w:fldChar w:fldCharType="begin"/>
    </w:r>
    <w:r>
      <w:instrText xml:space="preserve">PAGE   \* MERGEFORMAT</w:instrText>
    </w:r>
    <w:r>
      <w:fldChar w:fldCharType="separate"/>
    </w:r>
    <w:r>
      <w:rPr>
        <w:lang w:val="zh-CN"/>
      </w:rPr>
      <w:t>4</w:t>
    </w:r>
    <w:r>
      <w:fldChar w:fldCharType="end"/>
    </w:r>
  </w:p>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r>
      <mc:AlternateContent>
        <mc:Choice Requires="wps">
          <w:drawing>
            <wp:anchor distT="0" distB="0" distL="0" distR="0" simplePos="0" relativeHeight="10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4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ind w:firstLine="360"/>
                          </w:pPr>
                          <w:r>
                            <w:fldChar w:fldCharType="begin"/>
                          </w:r>
                          <w:r>
                            <w:instrText xml:space="preserve"> PAGE  \* MERGEFORMAT </w:instrText>
                          </w:r>
                          <w:r>
                            <w:fldChar w:fldCharType="separate"/>
                          </w:r>
                          <w:r>
                            <w:t>4</w:t>
                          </w:r>
                          <w:r>
                            <w:fldChar w:fldCharType="end"/>
                          </w:r>
                        </w:p>
                      </w:txbxContent>
                    </wps:txbx>
                    <wps:bodyPr vert="horz" wrap="none" lIns="0" tIns="0" rIns="0" bIns="0" anchor="t">
                      <a:spAutoFit/>
                    </wps:bodyPr>
                  </wps:wsp>
                </a:graphicData>
              </a:graphic>
            </wp:anchor>
          </w:drawing>
        </mc:Choice>
        <mc:Fallback>
          <w:pict>
            <v:rect id="文本框 40" o:spid="_x0000_s1026" o:spt="1" style="position:absolute;left:0pt;margin-top:0pt;height:144pt;width:144pt;mso-position-horizontal:outside;mso-position-horizontal-relative:margin;mso-wrap-style:none;z-index:102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DGhIgqvAQAA&#10;RQMAAA4AAAAAAAAAAQAgAAAAHwEAAGRycy9lMm9Eb2MueG1sUEsFBgAAAAAGAAYAWQEAAEAFAAAA&#10;AA==&#10;">
              <v:fill on="f" focussize="0,0"/>
              <v:stroke on="f"/>
              <v:imagedata o:title=""/>
              <o:lock v:ext="edit" aspectratio="f"/>
              <v:textbox inset="0mm,0mm,0mm,0mm" style="mso-fit-shape-to-text:t;">
                <w:txbxContent>
                  <w:p>
                    <w:pPr>
                      <w:pStyle w:val="6"/>
                      <w:ind w:firstLine="360"/>
                    </w:pPr>
                    <w:r>
                      <w:fldChar w:fldCharType="begin"/>
                    </w:r>
                    <w:r>
                      <w:instrText xml:space="preserve"> PAGE  \* MERGEFORMAT </w:instrText>
                    </w:r>
                    <w:r>
                      <w:fldChar w:fldCharType="separate"/>
                    </w:r>
                    <w:r>
                      <w:t>4</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after="851"/>
      <w:ind w:firstLine="420"/>
      <w:jc w:val="right"/>
      <w:rPr>
        <w:rFonts w:ascii="黑体" w:hAnsi="黑体" w:eastAsia="黑体"/>
        <w:sz w:val="21"/>
        <w:szCs w:val="21"/>
      </w:rPr>
    </w:pPr>
    <w:r>
      <w:rPr>
        <w:rFonts w:hint="eastAsia" w:ascii="黑体" w:hAnsi="黑体" w:eastAsia="黑体"/>
        <w:sz w:val="21"/>
        <w:szCs w:val="21"/>
      </w:rPr>
      <w:t>DB</w:t>
    </w:r>
    <w:r>
      <w:rPr>
        <w:rFonts w:ascii="黑体" w:hAnsi="黑体" w:eastAsia="黑体"/>
        <w:sz w:val="21"/>
        <w:szCs w:val="21"/>
      </w:rPr>
      <w:t>3710/</w:t>
    </w:r>
    <w:r>
      <w:rPr>
        <w:rFonts w:hint="eastAsia" w:ascii="黑体" w:hAnsi="黑体" w:eastAsia="黑体"/>
        <w:sz w:val="21"/>
        <w:szCs w:val="21"/>
      </w:rPr>
      <w:t>T</w:t>
    </w:r>
    <w:r>
      <w:rPr>
        <w:rFonts w:ascii="黑体" w:hAnsi="黑体" w:eastAsia="黑体"/>
        <w:sz w:val="21"/>
        <w:szCs w:val="21"/>
      </w:rPr>
      <w:t xml:space="preserve"> </w:t>
    </w:r>
    <w:r>
      <w:rPr>
        <w:rFonts w:hint="eastAsia" w:ascii="黑体" w:hAnsi="黑体" w:eastAsia="黑体"/>
        <w:sz w:val="21"/>
        <w:szCs w:val="21"/>
      </w:rPr>
      <w:t>XXXXX-</w:t>
    </w:r>
    <w:r>
      <w:rPr>
        <w:rFonts w:ascii="黑体" w:hAnsi="黑体" w:eastAsia="黑体"/>
        <w:sz w:val="21"/>
        <w:szCs w:val="21"/>
      </w:rPr>
      <w:t>2021</w:t>
    </w:r>
  </w:p>
  <w:p>
    <w:pPr>
      <w:pStyle w:val="7"/>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B1681D"/>
    <w:multiLevelType w:val="multilevel"/>
    <w:tmpl w:val="6AB1681D"/>
    <w:lvl w:ilvl="0" w:tentative="0">
      <w:start w:val="1"/>
      <w:numFmt w:val="decimal"/>
      <w:pStyle w:val="14"/>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6"/>
      <w:suff w:val="nothing"/>
      <w:lvlText w:val="%1.%2　"/>
      <w:lvlJc w:val="left"/>
      <w:pPr>
        <w:ind w:left="426" w:firstLine="0"/>
      </w:pPr>
      <w:rPr>
        <w:rFonts w:hint="eastAsia" w:ascii="黑体" w:hAnsi="Times New Roman" w:eastAsia="黑体" w:cs="Times New Roman"/>
        <w:b w:val="0"/>
        <w:bCs w:val="0"/>
        <w:i w:val="0"/>
        <w:iCs w:val="0"/>
        <w:caps w:val="0"/>
        <w:vanish w:val="0"/>
        <w:color w:val="000000"/>
        <w:spacing w:val="0"/>
        <w:kern w:val="0"/>
        <w:position w:val="0"/>
        <w:sz w:val="21"/>
        <w:szCs w:val="21"/>
        <w:u w:val="none"/>
        <w:vertAlign w:val="baseline"/>
        <w14:shadow w14:blurRad="0" w14:dist="0" w14:dir="0" w14:sx="0" w14:sy="0" w14:kx="0" w14:ky="0" w14:algn="none">
          <w14:srgbClr w14:val="000000"/>
        </w14:shadow>
      </w:rPr>
    </w:lvl>
    <w:lvl w:ilvl="2" w:tentative="0">
      <w:start w:val="1"/>
      <w:numFmt w:val="decimal"/>
      <w:suff w:val="nothing"/>
      <w:lvlText w:val="%1.%2.%3　"/>
      <w:lvlJc w:val="left"/>
      <w:pPr>
        <w:ind w:left="567"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9F4"/>
    <w:rsid w:val="000C0CEF"/>
    <w:rsid w:val="001F79BE"/>
    <w:rsid w:val="00254A99"/>
    <w:rsid w:val="002837A8"/>
    <w:rsid w:val="002C34CA"/>
    <w:rsid w:val="003A3836"/>
    <w:rsid w:val="003D199D"/>
    <w:rsid w:val="00464828"/>
    <w:rsid w:val="005A553C"/>
    <w:rsid w:val="005C665B"/>
    <w:rsid w:val="00704F09"/>
    <w:rsid w:val="007A5064"/>
    <w:rsid w:val="007C09F4"/>
    <w:rsid w:val="007C77CE"/>
    <w:rsid w:val="00824F9E"/>
    <w:rsid w:val="008E36DF"/>
    <w:rsid w:val="00A97E9B"/>
    <w:rsid w:val="00AC1B6F"/>
    <w:rsid w:val="00AE2EEA"/>
    <w:rsid w:val="00BB51F9"/>
    <w:rsid w:val="00E80D8F"/>
    <w:rsid w:val="0DE75336"/>
    <w:rsid w:val="16B83188"/>
    <w:rsid w:val="172405E3"/>
    <w:rsid w:val="2B254EDF"/>
    <w:rsid w:val="2DD915F5"/>
    <w:rsid w:val="31132D1C"/>
    <w:rsid w:val="3B3606A5"/>
    <w:rsid w:val="6F007F6B"/>
    <w:rsid w:val="7A03423B"/>
    <w:rsid w:val="7A6F68D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600" w:firstLineChars="20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spacing w:before="340" w:after="330"/>
      <w:jc w:val="left"/>
      <w:outlineLvl w:val="0"/>
    </w:pPr>
    <w:rPr>
      <w:b/>
      <w:kern w:val="44"/>
      <w:sz w:val="44"/>
      <w:szCs w:val="44"/>
    </w:rPr>
  </w:style>
  <w:style w:type="paragraph" w:styleId="3">
    <w:name w:val="heading 2"/>
    <w:basedOn w:val="1"/>
    <w:next w:val="1"/>
    <w:qFormat/>
    <w:uiPriority w:val="0"/>
    <w:pPr>
      <w:keepNext/>
      <w:keepLines/>
      <w:spacing w:before="260" w:after="260" w:line="120" w:lineRule="auto"/>
      <w:jc w:val="left"/>
      <w:outlineLvl w:val="1"/>
    </w:pPr>
    <w:rPr>
      <w:rFonts w:ascii="Calibri Light" w:hAnsi="Calibri Light" w:cs="宋体"/>
      <w:b/>
      <w:bCs/>
      <w:sz w:val="32"/>
      <w:szCs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11">
    <w:name w:val="Default Paragraph Font"/>
    <w:semiHidden/>
    <w:unhideWhenUsed/>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link w:val="27"/>
    <w:qFormat/>
    <w:uiPriority w:val="99"/>
    <w:pPr>
      <w:tabs>
        <w:tab w:val="center" w:pos="4140"/>
        <w:tab w:val="right" w:pos="8300"/>
      </w:tabs>
      <w:snapToGrid w:val="0"/>
      <w:jc w:val="left"/>
    </w:pPr>
    <w:rPr>
      <w:sz w:val="18"/>
      <w:szCs w:val="18"/>
    </w:rPr>
  </w:style>
  <w:style w:type="paragraph" w:styleId="7">
    <w:name w:val="header"/>
    <w:basedOn w:val="1"/>
    <w:link w:val="2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qFormat/>
    <w:uiPriority w:val="0"/>
    <w:rPr>
      <w:rFonts w:eastAsia="黑体"/>
      <w:sz w:val="28"/>
    </w:rPr>
  </w:style>
  <w:style w:type="paragraph" w:styleId="9">
    <w:name w:val="toc 2"/>
    <w:basedOn w:val="1"/>
    <w:next w:val="1"/>
    <w:qFormat/>
    <w:uiPriority w:val="0"/>
    <w:pPr>
      <w:ind w:left="420" w:leftChars="200"/>
    </w:pPr>
    <w:rPr>
      <w:rFonts w:eastAsia="楷体"/>
      <w:sz w:val="24"/>
    </w:rPr>
  </w:style>
  <w:style w:type="character" w:styleId="12">
    <w:name w:val="page number"/>
    <w:basedOn w:val="11"/>
    <w:qFormat/>
    <w:uiPriority w:val="0"/>
  </w:style>
  <w:style w:type="character" w:styleId="13">
    <w:name w:val="Hyperlink"/>
    <w:basedOn w:val="11"/>
    <w:qFormat/>
    <w:uiPriority w:val="0"/>
    <w:rPr>
      <w:color w:val="0563C1"/>
      <w:u w:val="single"/>
    </w:rPr>
  </w:style>
  <w:style w:type="paragraph" w:customStyle="1" w:styleId="14">
    <w:name w:val="章标题"/>
    <w:next w:val="15"/>
    <w:qFormat/>
    <w:uiPriority w:val="0"/>
    <w:pPr>
      <w:numPr>
        <w:ilvl w:val="0"/>
        <w:numId w:val="1"/>
      </w:numPr>
      <w:spacing w:beforeLines="100" w:afterLines="100"/>
      <w:jc w:val="both"/>
      <w:outlineLvl w:val="1"/>
    </w:pPr>
    <w:rPr>
      <w:rFonts w:ascii="黑体" w:hAnsi="Calibri" w:eastAsia="黑体" w:cs="Arial"/>
      <w:sz w:val="21"/>
      <w:lang w:val="en-US" w:eastAsia="zh-CN" w:bidi="ar-SA"/>
    </w:rPr>
  </w:style>
  <w:style w:type="paragraph" w:customStyle="1" w:styleId="15">
    <w:name w:val="段"/>
    <w:link w:val="22"/>
    <w:qFormat/>
    <w:uiPriority w:val="0"/>
    <w:pPr>
      <w:autoSpaceDE w:val="0"/>
      <w:autoSpaceDN w:val="0"/>
      <w:ind w:firstLine="420" w:firstLineChars="200"/>
      <w:jc w:val="both"/>
    </w:pPr>
    <w:rPr>
      <w:rFonts w:ascii="宋体" w:hAnsi="Calibri" w:eastAsia="宋体" w:cs="Arial"/>
      <w:sz w:val="21"/>
      <w:lang w:val="en-US" w:eastAsia="zh-CN" w:bidi="ar-SA"/>
    </w:rPr>
  </w:style>
  <w:style w:type="paragraph" w:customStyle="1" w:styleId="16">
    <w:name w:val="一级条标题"/>
    <w:next w:val="15"/>
    <w:link w:val="17"/>
    <w:qFormat/>
    <w:uiPriority w:val="0"/>
    <w:pPr>
      <w:numPr>
        <w:ilvl w:val="1"/>
        <w:numId w:val="1"/>
      </w:numPr>
      <w:spacing w:beforeLines="50" w:afterLines="50"/>
      <w:outlineLvl w:val="2"/>
    </w:pPr>
    <w:rPr>
      <w:rFonts w:ascii="黑体" w:hAnsi="Calibri" w:eastAsia="黑体" w:cs="Arial"/>
      <w:sz w:val="21"/>
      <w:szCs w:val="21"/>
      <w:lang w:val="en-US" w:eastAsia="zh-CN" w:bidi="ar-SA"/>
    </w:rPr>
  </w:style>
  <w:style w:type="character" w:customStyle="1" w:styleId="17">
    <w:name w:val="一级条标题 Char"/>
    <w:link w:val="16"/>
    <w:qFormat/>
    <w:uiPriority w:val="0"/>
    <w:rPr>
      <w:rFonts w:ascii="黑体" w:eastAsia="黑体"/>
      <w:sz w:val="21"/>
      <w:szCs w:val="21"/>
    </w:rPr>
  </w:style>
  <w:style w:type="paragraph" w:customStyle="1" w:styleId="18">
    <w:name w:val="二级条标题"/>
    <w:basedOn w:val="16"/>
    <w:next w:val="15"/>
    <w:qFormat/>
    <w:uiPriority w:val="0"/>
    <w:pPr>
      <w:numPr>
        <w:ilvl w:val="2"/>
        <w:numId w:val="0"/>
      </w:numPr>
      <w:spacing w:before="50" w:after="50"/>
      <w:outlineLvl w:val="3"/>
    </w:pPr>
  </w:style>
  <w:style w:type="paragraph" w:customStyle="1" w:styleId="19">
    <w:name w:val="三级无"/>
    <w:basedOn w:val="20"/>
    <w:link w:val="21"/>
    <w:qFormat/>
    <w:uiPriority w:val="0"/>
    <w:pPr>
      <w:spacing w:before="0" w:after="0"/>
    </w:pPr>
    <w:rPr>
      <w:rFonts w:ascii="宋体" w:eastAsia="宋体"/>
    </w:rPr>
  </w:style>
  <w:style w:type="paragraph" w:customStyle="1" w:styleId="20">
    <w:name w:val="三级条标题"/>
    <w:basedOn w:val="18"/>
    <w:next w:val="15"/>
    <w:qFormat/>
    <w:uiPriority w:val="0"/>
    <w:pPr>
      <w:numPr>
        <w:ilvl w:val="3"/>
      </w:numPr>
      <w:outlineLvl w:val="4"/>
    </w:pPr>
  </w:style>
  <w:style w:type="character" w:customStyle="1" w:styleId="21">
    <w:name w:val="三级无 Char"/>
    <w:link w:val="19"/>
    <w:qFormat/>
    <w:uiPriority w:val="0"/>
    <w:rPr>
      <w:rFonts w:ascii="宋体" w:eastAsia="宋体"/>
    </w:rPr>
  </w:style>
  <w:style w:type="character" w:customStyle="1" w:styleId="22">
    <w:name w:val="段 Char"/>
    <w:link w:val="15"/>
    <w:qFormat/>
    <w:uiPriority w:val="0"/>
    <w:rPr>
      <w:rFonts w:ascii="宋体"/>
      <w:sz w:val="21"/>
    </w:rPr>
  </w:style>
  <w:style w:type="paragraph" w:customStyle="1" w:styleId="23">
    <w:name w:val="前言、引言标题"/>
    <w:next w:val="15"/>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4">
    <w:name w:val="终结线"/>
    <w:basedOn w:val="1"/>
    <w:qFormat/>
    <w:uiPriority w:val="0"/>
    <w:pPr>
      <w:framePr w:hSpace="181" w:vSpace="181" w:wrap="around" w:vAnchor="text" w:hAnchor="margin" w:xAlign="center" w:y="285"/>
      <w:ind w:firstLine="0" w:firstLineChars="0"/>
    </w:pPr>
    <w:rPr>
      <w:rFonts w:ascii="Times New Roman" w:hAnsi="Times New Roman" w:cs="Times New Roman"/>
      <w:szCs w:val="24"/>
    </w:rPr>
  </w:style>
  <w:style w:type="character" w:customStyle="1" w:styleId="25">
    <w:name w:val="页眉 Char"/>
    <w:basedOn w:val="11"/>
    <w:link w:val="7"/>
    <w:qFormat/>
    <w:uiPriority w:val="99"/>
    <w:rPr>
      <w:rFonts w:ascii="Calibri" w:hAnsi="Calibri" w:eastAsia="宋体" w:cs="Arial"/>
      <w:kern w:val="2"/>
      <w:sz w:val="18"/>
      <w:szCs w:val="22"/>
    </w:rPr>
  </w:style>
  <w:style w:type="paragraph" w:customStyle="1" w:styleId="26">
    <w:name w:val="目次、标准名称标题"/>
    <w:basedOn w:val="1"/>
    <w:next w:val="15"/>
    <w:qFormat/>
    <w:uiPriority w:val="0"/>
    <w:pPr>
      <w:keepNext/>
      <w:pageBreakBefore/>
      <w:widowControl/>
      <w:shd w:val="clear" w:color="FFFFFF" w:fill="FFFFFF"/>
      <w:spacing w:before="640" w:after="560" w:line="460" w:lineRule="exact"/>
      <w:ind w:firstLine="0" w:firstLineChars="0"/>
      <w:jc w:val="center"/>
      <w:outlineLvl w:val="0"/>
    </w:pPr>
    <w:rPr>
      <w:rFonts w:ascii="黑体" w:hAnsi="Times New Roman" w:eastAsia="黑体" w:cs="Times New Roman"/>
      <w:kern w:val="0"/>
      <w:sz w:val="32"/>
      <w:szCs w:val="20"/>
    </w:rPr>
  </w:style>
  <w:style w:type="character" w:customStyle="1" w:styleId="27">
    <w:name w:val="页脚 Char"/>
    <w:basedOn w:val="11"/>
    <w:link w:val="6"/>
    <w:qFormat/>
    <w:uiPriority w:val="99"/>
    <w:rPr>
      <w:rFonts w:ascii="Calibri" w:hAnsi="Calibri" w:eastAsia="宋体" w:cs="Arial"/>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4DF26E-047D-440B-B5C5-263D7BD7359D}">
  <ds:schemaRefs/>
</ds:datastoreItem>
</file>

<file path=docProps/app.xml><?xml version="1.0" encoding="utf-8"?>
<Properties xmlns="http://schemas.openxmlformats.org/officeDocument/2006/extended-properties" xmlns:vt="http://schemas.openxmlformats.org/officeDocument/2006/docPropsVTypes">
  <Template>Normal</Template>
  <Pages>17</Pages>
  <Words>2539</Words>
  <Characters>14478</Characters>
  <Lines>120</Lines>
  <Paragraphs>33</Paragraphs>
  <TotalTime>13</TotalTime>
  <ScaleCrop>false</ScaleCrop>
  <LinksUpToDate>false</LinksUpToDate>
  <CharactersWithSpaces>16984</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2021-05-30T13:13:00Z</dcterms:created>
  <dc:creator>FRL-AN00a</dc:creator>
  <cp:lastModifiedBy>Administrator</cp:lastModifiedBy>
  <cp:lastPrinted>2021-05-24T04:15:00Z</cp:lastPrinted>
  <dcterms:modified xsi:type="dcterms:W3CDTF">2021-05-31T02:04:46Z</dcterms:modified>
  <dc:title>前 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1211F9F6F6CE40D2BE9CE4AB9326CD22</vt:lpwstr>
  </property>
  <property fmtid="{D5CDD505-2E9C-101B-9397-08002B2CF9AE}" pid="3" name="KSOProductBuildVer">
    <vt:lpwstr>2052-11.1.0.8696</vt:lpwstr>
  </property>
</Properties>
</file>