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9F30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color w:val="000000"/>
          <w:sz w:val="44"/>
          <w:szCs w:val="44"/>
        </w:rPr>
      </w:pPr>
      <w:r>
        <w:rPr>
          <w:rFonts w:hint="eastAsia" w:ascii="方正小标宋简体" w:hAnsi="方正小标宋简体" w:eastAsia="方正小标宋简体" w:cs="方正小标宋简体"/>
          <w:b w:val="0"/>
          <w:color w:val="000000"/>
          <w:sz w:val="44"/>
          <w:szCs w:val="44"/>
          <w:lang w:eastAsia="zh-CN"/>
        </w:rPr>
        <w:t>威海市</w:t>
      </w:r>
      <w:r>
        <w:rPr>
          <w:rFonts w:hint="eastAsia" w:ascii="方正小标宋简体" w:hAnsi="方正小标宋简体" w:eastAsia="方正小标宋简体" w:cs="方正小标宋简体"/>
          <w:b w:val="0"/>
          <w:color w:val="000000"/>
          <w:sz w:val="44"/>
          <w:szCs w:val="44"/>
        </w:rPr>
        <w:t>建筑垃圾</w:t>
      </w:r>
      <w:r>
        <w:rPr>
          <w:rFonts w:hint="eastAsia" w:ascii="方正小标宋简体" w:hAnsi="方正小标宋简体" w:eastAsia="方正小标宋简体" w:cs="方正小标宋简体"/>
          <w:b w:val="0"/>
          <w:color w:val="000000"/>
          <w:sz w:val="44"/>
          <w:szCs w:val="44"/>
          <w:lang w:eastAsia="zh-CN"/>
        </w:rPr>
        <w:t>治理</w:t>
      </w:r>
      <w:r>
        <w:rPr>
          <w:rFonts w:hint="eastAsia" w:ascii="方正小标宋简体" w:hAnsi="方正小标宋简体" w:eastAsia="方正小标宋简体" w:cs="方正小标宋简体"/>
          <w:b w:val="0"/>
          <w:color w:val="000000"/>
          <w:sz w:val="44"/>
          <w:szCs w:val="44"/>
        </w:rPr>
        <w:t>规划</w:t>
      </w:r>
    </w:p>
    <w:p w14:paraId="44E80A8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（202</w:t>
      </w:r>
      <w:r>
        <w:rPr>
          <w:rFonts w:hint="eastAsia" w:ascii="仿宋_GB2312" w:hAnsi="仿宋_GB2312" w:eastAsia="仿宋_GB2312" w:cs="仿宋_GB2312"/>
          <w:b w:val="0"/>
          <w:color w:val="000000"/>
          <w:sz w:val="32"/>
          <w:szCs w:val="32"/>
          <w:lang w:val="en-US" w:eastAsia="zh-CN"/>
        </w:rPr>
        <w:t>3</w:t>
      </w:r>
      <w:r>
        <w:rPr>
          <w:rFonts w:hint="eastAsia" w:ascii="仿宋_GB2312" w:hAnsi="仿宋_GB2312" w:eastAsia="仿宋_GB2312" w:cs="仿宋_GB2312"/>
          <w:b w:val="0"/>
          <w:color w:val="000000"/>
          <w:sz w:val="32"/>
          <w:szCs w:val="32"/>
        </w:rPr>
        <w:t>—203</w:t>
      </w:r>
      <w:r>
        <w:rPr>
          <w:rFonts w:hint="eastAsia" w:ascii="仿宋_GB2312" w:hAnsi="仿宋_GB2312" w:eastAsia="仿宋_GB2312" w:cs="仿宋_GB2312"/>
          <w:b w:val="0"/>
          <w:color w:val="000000"/>
          <w:sz w:val="32"/>
          <w:szCs w:val="32"/>
          <w:lang w:val="en-US" w:eastAsia="zh-CN"/>
        </w:rPr>
        <w:t>5</w:t>
      </w:r>
      <w:r>
        <w:rPr>
          <w:rFonts w:hint="eastAsia" w:ascii="仿宋_GB2312" w:hAnsi="仿宋_GB2312" w:eastAsia="仿宋_GB2312" w:cs="仿宋_GB2312"/>
          <w:b w:val="0"/>
          <w:color w:val="000000"/>
          <w:sz w:val="32"/>
          <w:szCs w:val="32"/>
        </w:rPr>
        <w:t>年）</w:t>
      </w:r>
    </w:p>
    <w:p w14:paraId="6DAEF2BD">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（征求意见稿）</w:t>
      </w:r>
    </w:p>
    <w:p w14:paraId="728D535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宋体" w:eastAsia="黑体" w:cs="黑体"/>
          <w:b w:val="0"/>
          <w:color w:val="000000"/>
          <w:sz w:val="32"/>
          <w:szCs w:val="32"/>
          <w:lang w:eastAsia="zh-CN"/>
        </w:rPr>
      </w:pPr>
    </w:p>
    <w:p w14:paraId="711F1BD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ascii="黑体" w:hAnsi="宋体" w:eastAsia="黑体" w:cs="黑体"/>
          <w:b w:val="0"/>
          <w:color w:val="000000"/>
          <w:sz w:val="32"/>
          <w:szCs w:val="32"/>
        </w:rPr>
      </w:pPr>
      <w:r>
        <w:rPr>
          <w:rFonts w:hint="eastAsia" w:ascii="黑体" w:hAnsi="宋体" w:eastAsia="黑体" w:cs="黑体"/>
          <w:b w:val="0"/>
          <w:color w:val="000000"/>
          <w:sz w:val="32"/>
          <w:szCs w:val="32"/>
          <w:lang w:eastAsia="zh-CN"/>
        </w:rPr>
        <w:t>第一章</w:t>
      </w:r>
      <w:r>
        <w:rPr>
          <w:rFonts w:hint="eastAsia" w:ascii="黑体" w:hAnsi="宋体" w:eastAsia="黑体" w:cs="黑体"/>
          <w:b w:val="0"/>
          <w:color w:val="000000"/>
          <w:sz w:val="32"/>
          <w:szCs w:val="32"/>
          <w:lang w:val="en-US" w:eastAsia="zh-CN"/>
        </w:rPr>
        <w:t xml:space="preserve"> </w:t>
      </w:r>
      <w:r>
        <w:rPr>
          <w:rFonts w:ascii="黑体" w:hAnsi="宋体" w:eastAsia="黑体" w:cs="黑体"/>
          <w:b w:val="0"/>
          <w:color w:val="000000"/>
          <w:sz w:val="32"/>
          <w:szCs w:val="32"/>
        </w:rPr>
        <w:t>总则</w:t>
      </w:r>
    </w:p>
    <w:p w14:paraId="4E9709A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color w:val="000000"/>
          <w:sz w:val="32"/>
          <w:szCs w:val="32"/>
        </w:rPr>
      </w:pPr>
      <w:r>
        <w:rPr>
          <w:rFonts w:hint="eastAsia" w:ascii="黑体" w:hAnsi="宋体" w:eastAsia="黑体" w:cs="黑体"/>
          <w:b w:val="0"/>
          <w:color w:val="000000"/>
          <w:sz w:val="32"/>
          <w:szCs w:val="32"/>
          <w:lang w:eastAsia="zh-CN"/>
        </w:rPr>
        <w:t>第一条</w:t>
      </w:r>
      <w:r>
        <w:rPr>
          <w:rFonts w:hint="eastAsia" w:ascii="黑体" w:hAnsi="宋体" w:eastAsia="黑体" w:cs="黑体"/>
          <w:b w:val="0"/>
          <w:color w:val="000000"/>
          <w:sz w:val="32"/>
          <w:szCs w:val="32"/>
          <w:lang w:val="en-US" w:eastAsia="zh-CN"/>
        </w:rPr>
        <w:t xml:space="preserve"> </w:t>
      </w:r>
      <w:r>
        <w:rPr>
          <w:rFonts w:ascii="黑体" w:hAnsi="宋体" w:eastAsia="黑体" w:cs="黑体"/>
          <w:b w:val="0"/>
          <w:color w:val="000000"/>
          <w:sz w:val="32"/>
          <w:szCs w:val="32"/>
        </w:rPr>
        <w:t xml:space="preserve">编制目的 </w:t>
      </w:r>
      <w:r>
        <w:rPr>
          <w:rFonts w:hint="eastAsia" w:ascii="仿宋_GB2312" w:hAnsi="仿宋_GB2312" w:eastAsia="仿宋_GB2312" w:cs="仿宋_GB2312"/>
          <w:b w:val="0"/>
          <w:color w:val="000000"/>
          <w:sz w:val="32"/>
          <w:szCs w:val="32"/>
        </w:rPr>
        <w:t>为深入贯彻落实习近平新时代中国特色社会主义思想</w:t>
      </w:r>
      <w:r>
        <w:rPr>
          <w:rFonts w:hint="eastAsia" w:ascii="仿宋_GB2312" w:hAnsi="仿宋_GB2312" w:eastAsia="仿宋_GB2312" w:cs="仿宋_GB2312"/>
          <w:b w:val="0"/>
          <w:color w:val="000000"/>
          <w:sz w:val="32"/>
          <w:szCs w:val="32"/>
          <w:lang w:val="en-US" w:eastAsia="zh-CN"/>
        </w:rPr>
        <w:t>和</w:t>
      </w:r>
      <w:r>
        <w:rPr>
          <w:rFonts w:hint="eastAsia" w:ascii="仿宋_GB2312" w:hAnsi="仿宋_GB2312" w:eastAsia="仿宋_GB2312" w:cs="仿宋_GB2312"/>
          <w:b w:val="0"/>
          <w:color w:val="000000"/>
          <w:sz w:val="32"/>
          <w:szCs w:val="32"/>
        </w:rPr>
        <w:t>党的二十大精神</w:t>
      </w:r>
      <w:bookmarkStart w:id="0" w:name="_GoBack"/>
      <w:bookmarkEnd w:id="0"/>
      <w:r>
        <w:rPr>
          <w:rFonts w:hint="eastAsia" w:ascii="仿宋_GB2312" w:hAnsi="仿宋_GB2312" w:eastAsia="仿宋_GB2312" w:cs="仿宋_GB2312"/>
          <w:b w:val="0"/>
          <w:color w:val="000000"/>
          <w:sz w:val="32"/>
          <w:szCs w:val="32"/>
          <w:lang w:eastAsia="zh-CN"/>
        </w:rPr>
        <w:t>，</w:t>
      </w:r>
      <w:r>
        <w:rPr>
          <w:rFonts w:hint="eastAsia" w:ascii="仿宋_GB2312" w:hAnsi="仿宋_GB2312" w:eastAsia="仿宋_GB2312" w:cs="仿宋_GB2312"/>
          <w:b w:val="0"/>
          <w:color w:val="000000"/>
          <w:sz w:val="32"/>
          <w:szCs w:val="32"/>
        </w:rPr>
        <w:t>加强建筑垃圾全方位全过程管理，提升城乡发展质量，根据</w:t>
      </w:r>
      <w:r>
        <w:rPr>
          <w:rFonts w:hint="eastAsia" w:ascii="仿宋_GB2312" w:hAnsi="仿宋_GB2312" w:eastAsia="仿宋_GB2312" w:cs="仿宋_GB2312"/>
          <w:b w:val="0"/>
          <w:color w:val="000000"/>
          <w:sz w:val="32"/>
          <w:szCs w:val="32"/>
          <w:lang w:eastAsia="zh-CN"/>
        </w:rPr>
        <w:t>《中华人民共和国固体废物污染环境防治法》《城市建筑垃圾管理规定》</w:t>
      </w:r>
      <w:r>
        <w:rPr>
          <w:rFonts w:hint="eastAsia" w:ascii="仿宋_GB2312" w:hAnsi="仿宋_GB2312" w:eastAsia="仿宋_GB2312" w:cs="仿宋_GB2312"/>
          <w:b w:val="0"/>
          <w:color w:val="000000"/>
          <w:sz w:val="32"/>
          <w:szCs w:val="32"/>
        </w:rPr>
        <w:t>《</w:t>
      </w:r>
      <w:r>
        <w:rPr>
          <w:rFonts w:hint="eastAsia" w:ascii="仿宋_GB2312" w:hAnsi="仿宋_GB2312" w:eastAsia="仿宋_GB2312" w:cs="仿宋_GB2312"/>
          <w:b w:val="0"/>
          <w:color w:val="000000"/>
          <w:sz w:val="32"/>
          <w:szCs w:val="32"/>
          <w:lang w:eastAsia="zh-CN"/>
        </w:rPr>
        <w:t>威海市建筑垃圾管理办法</w:t>
      </w:r>
      <w:r>
        <w:rPr>
          <w:rFonts w:hint="eastAsia" w:ascii="仿宋_GB2312" w:hAnsi="仿宋_GB2312" w:eastAsia="仿宋_GB2312" w:cs="仿宋_GB2312"/>
          <w:b w:val="0"/>
          <w:color w:val="000000"/>
          <w:sz w:val="32"/>
          <w:szCs w:val="32"/>
        </w:rPr>
        <w:t>》</w:t>
      </w:r>
      <w:r>
        <w:rPr>
          <w:rFonts w:hint="eastAsia" w:ascii="仿宋_GB2312" w:hAnsi="仿宋_GB2312" w:eastAsia="仿宋_GB2312" w:cs="仿宋_GB2312"/>
          <w:b w:val="0"/>
          <w:color w:val="000000"/>
          <w:sz w:val="32"/>
          <w:szCs w:val="32"/>
          <w:lang w:eastAsia="zh-CN"/>
        </w:rPr>
        <w:t>等法律法规和规章</w:t>
      </w:r>
      <w:r>
        <w:rPr>
          <w:rFonts w:hint="eastAsia" w:ascii="仿宋_GB2312" w:hAnsi="仿宋_GB2312" w:eastAsia="仿宋_GB2312" w:cs="仿宋_GB2312"/>
          <w:b w:val="0"/>
          <w:color w:val="000000"/>
          <w:sz w:val="32"/>
          <w:szCs w:val="32"/>
        </w:rPr>
        <w:t>文件要求，结合</w:t>
      </w:r>
      <w:r>
        <w:rPr>
          <w:rFonts w:hint="eastAsia" w:ascii="仿宋_GB2312" w:hAnsi="仿宋_GB2312" w:eastAsia="仿宋_GB2312" w:cs="仿宋_GB2312"/>
          <w:b w:val="0"/>
          <w:color w:val="000000"/>
          <w:sz w:val="32"/>
          <w:szCs w:val="32"/>
          <w:lang w:eastAsia="zh-CN"/>
        </w:rPr>
        <w:t>威海</w:t>
      </w:r>
      <w:r>
        <w:rPr>
          <w:rFonts w:hint="eastAsia" w:ascii="仿宋_GB2312" w:hAnsi="仿宋_GB2312" w:eastAsia="仿宋_GB2312" w:cs="仿宋_GB2312"/>
          <w:b w:val="0"/>
          <w:color w:val="000000"/>
          <w:sz w:val="32"/>
          <w:szCs w:val="32"/>
        </w:rPr>
        <w:t>市</w:t>
      </w:r>
      <w:r>
        <w:rPr>
          <w:rFonts w:hint="eastAsia" w:ascii="仿宋_GB2312" w:hAnsi="仿宋_GB2312" w:eastAsia="仿宋_GB2312" w:cs="仿宋_GB2312"/>
          <w:b w:val="0"/>
          <w:color w:val="000000"/>
          <w:sz w:val="32"/>
          <w:szCs w:val="32"/>
          <w:lang w:eastAsia="zh-CN"/>
        </w:rPr>
        <w:t>实际</w:t>
      </w:r>
      <w:r>
        <w:rPr>
          <w:rFonts w:hint="eastAsia" w:ascii="仿宋_GB2312" w:hAnsi="仿宋_GB2312" w:eastAsia="仿宋_GB2312" w:cs="仿宋_GB2312"/>
          <w:b w:val="0"/>
          <w:color w:val="000000"/>
          <w:sz w:val="32"/>
          <w:szCs w:val="32"/>
        </w:rPr>
        <w:t>，组织编制《</w:t>
      </w:r>
      <w:r>
        <w:rPr>
          <w:rFonts w:hint="eastAsia" w:ascii="仿宋_GB2312" w:hAnsi="仿宋_GB2312" w:eastAsia="仿宋_GB2312" w:cs="仿宋_GB2312"/>
          <w:b w:val="0"/>
          <w:color w:val="000000"/>
          <w:sz w:val="32"/>
          <w:szCs w:val="32"/>
          <w:lang w:eastAsia="zh-CN"/>
        </w:rPr>
        <w:t>威海市</w:t>
      </w:r>
      <w:r>
        <w:rPr>
          <w:rFonts w:hint="eastAsia" w:ascii="仿宋_GB2312" w:hAnsi="仿宋_GB2312" w:eastAsia="仿宋_GB2312" w:cs="仿宋_GB2312"/>
          <w:b w:val="0"/>
          <w:color w:val="000000"/>
          <w:sz w:val="32"/>
          <w:szCs w:val="32"/>
        </w:rPr>
        <w:t>建筑垃圾处理规划（202</w:t>
      </w:r>
      <w:r>
        <w:rPr>
          <w:rFonts w:hint="eastAsia" w:ascii="仿宋_GB2312" w:hAnsi="仿宋_GB2312" w:eastAsia="仿宋_GB2312" w:cs="仿宋_GB2312"/>
          <w:b w:val="0"/>
          <w:color w:val="000000"/>
          <w:sz w:val="32"/>
          <w:szCs w:val="32"/>
          <w:lang w:val="en-US" w:eastAsia="zh-CN"/>
        </w:rPr>
        <w:t>3</w:t>
      </w:r>
      <w:r>
        <w:rPr>
          <w:rFonts w:hint="eastAsia" w:ascii="仿宋_GB2312" w:hAnsi="仿宋_GB2312" w:eastAsia="仿宋_GB2312" w:cs="仿宋_GB2312"/>
          <w:b w:val="0"/>
          <w:color w:val="000000"/>
          <w:sz w:val="32"/>
          <w:szCs w:val="32"/>
        </w:rPr>
        <w:t>—203</w:t>
      </w:r>
      <w:r>
        <w:rPr>
          <w:rFonts w:hint="eastAsia" w:ascii="仿宋_GB2312" w:hAnsi="仿宋_GB2312" w:eastAsia="仿宋_GB2312" w:cs="仿宋_GB2312"/>
          <w:b w:val="0"/>
          <w:color w:val="000000"/>
          <w:sz w:val="32"/>
          <w:szCs w:val="32"/>
          <w:lang w:val="en-US" w:eastAsia="zh-CN"/>
        </w:rPr>
        <w:t>5</w:t>
      </w:r>
      <w:r>
        <w:rPr>
          <w:rFonts w:hint="eastAsia" w:ascii="仿宋_GB2312" w:hAnsi="仿宋_GB2312" w:eastAsia="仿宋_GB2312" w:cs="仿宋_GB2312"/>
          <w:b w:val="0"/>
          <w:color w:val="000000"/>
          <w:sz w:val="32"/>
          <w:szCs w:val="32"/>
        </w:rPr>
        <w:t>年）》。</w:t>
      </w:r>
    </w:p>
    <w:p w14:paraId="7671AA2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color w:val="000000"/>
          <w:sz w:val="32"/>
          <w:szCs w:val="32"/>
          <w:highlight w:val="yellow"/>
        </w:rPr>
      </w:pPr>
      <w:r>
        <w:rPr>
          <w:rFonts w:ascii="黑体" w:hAnsi="宋体" w:eastAsia="黑体" w:cs="黑体"/>
          <w:b w:val="0"/>
          <w:color w:val="000000"/>
          <w:sz w:val="32"/>
          <w:szCs w:val="32"/>
        </w:rPr>
        <w:t xml:space="preserve">第二条 规划期限及范围 </w:t>
      </w:r>
      <w:r>
        <w:rPr>
          <w:rFonts w:hint="eastAsia" w:ascii="仿宋_GB2312" w:hAnsi="仿宋_GB2312" w:eastAsia="仿宋_GB2312" w:cs="仿宋_GB2312"/>
          <w:b w:val="0"/>
          <w:color w:val="000000"/>
          <w:sz w:val="32"/>
          <w:szCs w:val="32"/>
        </w:rPr>
        <w:t>规划期限：202</w:t>
      </w:r>
      <w:r>
        <w:rPr>
          <w:rFonts w:hint="eastAsia" w:ascii="仿宋_GB2312" w:hAnsi="仿宋_GB2312" w:eastAsia="仿宋_GB2312" w:cs="仿宋_GB2312"/>
          <w:b w:val="0"/>
          <w:color w:val="000000"/>
          <w:sz w:val="32"/>
          <w:szCs w:val="32"/>
          <w:lang w:val="en-US" w:eastAsia="zh-CN"/>
        </w:rPr>
        <w:t>3</w:t>
      </w:r>
      <w:r>
        <w:rPr>
          <w:rFonts w:hint="eastAsia" w:ascii="仿宋_GB2312" w:hAnsi="仿宋_GB2312" w:eastAsia="仿宋_GB2312" w:cs="仿宋_GB2312"/>
          <w:b w:val="0"/>
          <w:color w:val="000000"/>
          <w:sz w:val="32"/>
          <w:szCs w:val="32"/>
        </w:rPr>
        <w:t>—203</w:t>
      </w:r>
      <w:r>
        <w:rPr>
          <w:rFonts w:hint="eastAsia" w:ascii="仿宋_GB2312" w:hAnsi="仿宋_GB2312" w:eastAsia="仿宋_GB2312" w:cs="仿宋_GB2312"/>
          <w:b w:val="0"/>
          <w:color w:val="000000"/>
          <w:sz w:val="32"/>
          <w:szCs w:val="32"/>
          <w:lang w:val="en-US" w:eastAsia="zh-CN"/>
        </w:rPr>
        <w:t>5</w:t>
      </w:r>
      <w:r>
        <w:rPr>
          <w:rFonts w:hint="eastAsia" w:ascii="仿宋_GB2312" w:hAnsi="仿宋_GB2312" w:eastAsia="仿宋_GB2312" w:cs="仿宋_GB2312"/>
          <w:b w:val="0"/>
          <w:color w:val="000000"/>
          <w:sz w:val="32"/>
          <w:szCs w:val="32"/>
        </w:rPr>
        <w:t>年，其中近期到</w:t>
      </w:r>
      <w:r>
        <w:rPr>
          <w:rFonts w:hint="eastAsia" w:ascii="仿宋_GB2312" w:hAnsi="仿宋_GB2312" w:eastAsia="仿宋_GB2312" w:cs="仿宋_GB2312"/>
          <w:b w:val="0"/>
          <w:color w:val="000000"/>
          <w:sz w:val="32"/>
          <w:szCs w:val="32"/>
          <w:lang w:val="en-US" w:eastAsia="zh-CN"/>
        </w:rPr>
        <w:t>2</w:t>
      </w:r>
      <w:r>
        <w:rPr>
          <w:rFonts w:hint="eastAsia" w:ascii="仿宋_GB2312" w:hAnsi="仿宋_GB2312" w:eastAsia="仿宋_GB2312" w:cs="仿宋_GB2312"/>
          <w:b w:val="0"/>
          <w:color w:val="000000"/>
          <w:sz w:val="32"/>
          <w:szCs w:val="32"/>
        </w:rPr>
        <w:t>025年，远期到203</w:t>
      </w:r>
      <w:r>
        <w:rPr>
          <w:rFonts w:hint="eastAsia" w:ascii="仿宋_GB2312" w:hAnsi="仿宋_GB2312" w:eastAsia="仿宋_GB2312" w:cs="仿宋_GB2312"/>
          <w:b w:val="0"/>
          <w:color w:val="000000"/>
          <w:sz w:val="32"/>
          <w:szCs w:val="32"/>
          <w:lang w:val="en-US" w:eastAsia="zh-CN"/>
        </w:rPr>
        <w:t>5</w:t>
      </w:r>
      <w:r>
        <w:rPr>
          <w:rFonts w:hint="eastAsia" w:ascii="仿宋_GB2312" w:hAnsi="仿宋_GB2312" w:eastAsia="仿宋_GB2312" w:cs="仿宋_GB2312"/>
          <w:b w:val="0"/>
          <w:color w:val="000000"/>
          <w:sz w:val="32"/>
          <w:szCs w:val="32"/>
        </w:rPr>
        <w:t>年。规划范围：</w:t>
      </w:r>
      <w:r>
        <w:rPr>
          <w:rFonts w:hint="eastAsia" w:ascii="仿宋_GB2312" w:hAnsi="仿宋_GB2312" w:eastAsia="仿宋_GB2312" w:cs="仿宋_GB2312"/>
          <w:b w:val="0"/>
          <w:color w:val="000000"/>
          <w:sz w:val="32"/>
          <w:szCs w:val="32"/>
          <w:lang w:eastAsia="zh-CN"/>
        </w:rPr>
        <w:t>威海市所有</w:t>
      </w:r>
      <w:r>
        <w:rPr>
          <w:rFonts w:hint="eastAsia" w:ascii="仿宋_GB2312" w:hAnsi="仿宋_GB2312" w:eastAsia="仿宋_GB2312" w:cs="仿宋_GB2312"/>
          <w:b w:val="0"/>
          <w:color w:val="000000"/>
          <w:sz w:val="32"/>
          <w:szCs w:val="32"/>
          <w:highlight w:val="yellow"/>
          <w:lang w:eastAsia="zh-CN"/>
        </w:rPr>
        <w:t>镇</w:t>
      </w:r>
      <w:r>
        <w:rPr>
          <w:rFonts w:hint="eastAsia" w:ascii="仿宋_GB2312" w:hAnsi="仿宋_GB2312" w:eastAsia="仿宋_GB2312" w:cs="仿宋_GB2312"/>
          <w:b w:val="0"/>
          <w:color w:val="000000"/>
          <w:sz w:val="32"/>
          <w:szCs w:val="32"/>
          <w:highlight w:val="yellow"/>
          <w:lang w:val="en-US" w:eastAsia="zh-CN"/>
        </w:rPr>
        <w:t>街</w:t>
      </w:r>
      <w:r>
        <w:rPr>
          <w:rFonts w:hint="eastAsia" w:ascii="仿宋_GB2312" w:hAnsi="仿宋_GB2312" w:eastAsia="仿宋_GB2312" w:cs="仿宋_GB2312"/>
          <w:b w:val="0"/>
          <w:color w:val="000000"/>
          <w:sz w:val="32"/>
          <w:szCs w:val="32"/>
          <w:highlight w:val="yellow"/>
        </w:rPr>
        <w:t>行政</w:t>
      </w:r>
      <w:r>
        <w:rPr>
          <w:rFonts w:hint="eastAsia" w:ascii="仿宋_GB2312" w:hAnsi="仿宋_GB2312" w:eastAsia="仿宋_GB2312" w:cs="仿宋_GB2312"/>
          <w:b w:val="0"/>
          <w:color w:val="000000"/>
          <w:sz w:val="32"/>
          <w:szCs w:val="32"/>
          <w:highlight w:val="yellow"/>
          <w:lang w:eastAsia="zh-CN"/>
        </w:rPr>
        <w:t>区域，</w:t>
      </w:r>
      <w:r>
        <w:rPr>
          <w:rFonts w:hint="eastAsia" w:ascii="仿宋_GB2312" w:hAnsi="仿宋_GB2312" w:eastAsia="仿宋_GB2312" w:cs="仿宋_GB2312"/>
          <w:b w:val="0"/>
          <w:color w:val="000000"/>
          <w:sz w:val="32"/>
          <w:szCs w:val="32"/>
          <w:highlight w:val="yellow"/>
        </w:rPr>
        <w:t>范围与城市总体规划一致。</w:t>
      </w:r>
    </w:p>
    <w:p w14:paraId="64D77AE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color w:val="000000"/>
          <w:sz w:val="32"/>
          <w:szCs w:val="32"/>
        </w:rPr>
      </w:pPr>
      <w:r>
        <w:rPr>
          <w:rFonts w:hint="eastAsia" w:ascii="黑体" w:hAnsi="宋体" w:eastAsia="黑体" w:cs="黑体"/>
          <w:b w:val="0"/>
          <w:color w:val="000000"/>
          <w:sz w:val="32"/>
          <w:szCs w:val="32"/>
          <w:lang w:eastAsia="zh-CN"/>
        </w:rPr>
        <w:t>第三条</w:t>
      </w:r>
      <w:r>
        <w:rPr>
          <w:rFonts w:hint="eastAsia" w:ascii="黑体" w:hAnsi="宋体" w:eastAsia="黑体" w:cs="黑体"/>
          <w:b w:val="0"/>
          <w:color w:val="000000"/>
          <w:sz w:val="32"/>
          <w:szCs w:val="32"/>
          <w:lang w:val="en-US" w:eastAsia="zh-CN"/>
        </w:rPr>
        <w:t xml:space="preserve"> </w:t>
      </w:r>
      <w:r>
        <w:rPr>
          <w:rFonts w:ascii="黑体" w:hAnsi="宋体" w:eastAsia="黑体" w:cs="黑体"/>
          <w:b w:val="0"/>
          <w:color w:val="000000"/>
          <w:sz w:val="32"/>
          <w:szCs w:val="32"/>
        </w:rPr>
        <w:t xml:space="preserve">指导思想 </w:t>
      </w:r>
      <w:r>
        <w:rPr>
          <w:rFonts w:hint="eastAsia" w:ascii="仿宋_GB2312" w:hAnsi="仿宋_GB2312" w:eastAsia="仿宋_GB2312" w:cs="仿宋_GB2312"/>
          <w:b w:val="0"/>
          <w:color w:val="000000"/>
          <w:sz w:val="32"/>
          <w:szCs w:val="32"/>
        </w:rPr>
        <w:t>以习近平新时代中国特色社会主义思想为指导，深入贯彻落实生态文明建设和环境保护基本国策，在遵循减量化、资源化、无害化的原则下，进行高起点、高要求、适</w:t>
      </w:r>
      <w:r>
        <w:rPr>
          <w:rFonts w:hint="eastAsia" w:ascii="仿宋_GB2312" w:hAnsi="仿宋_GB2312" w:eastAsia="仿宋_GB2312" w:cs="仿宋_GB2312"/>
          <w:b w:val="0"/>
          <w:color w:val="000000"/>
          <w:sz w:val="32"/>
          <w:szCs w:val="32"/>
          <w:lang w:eastAsia="zh-CN"/>
        </w:rPr>
        <w:t>合威海</w:t>
      </w:r>
      <w:r>
        <w:rPr>
          <w:rFonts w:hint="eastAsia" w:ascii="仿宋_GB2312" w:hAnsi="仿宋_GB2312" w:eastAsia="仿宋_GB2312" w:cs="仿宋_GB2312"/>
          <w:b w:val="0"/>
          <w:color w:val="000000"/>
          <w:sz w:val="32"/>
          <w:szCs w:val="32"/>
        </w:rPr>
        <w:t>的建筑</w:t>
      </w:r>
      <w:r>
        <w:rPr>
          <w:rFonts w:hint="eastAsia" w:ascii="仿宋_GB2312" w:hAnsi="仿宋_GB2312" w:eastAsia="仿宋_GB2312" w:cs="仿宋_GB2312"/>
          <w:b w:val="0"/>
          <w:color w:val="000000"/>
          <w:sz w:val="32"/>
          <w:szCs w:val="32"/>
          <w:lang w:eastAsia="zh-CN"/>
        </w:rPr>
        <w:t>垃圾治理</w:t>
      </w:r>
      <w:r>
        <w:rPr>
          <w:rFonts w:hint="eastAsia" w:ascii="仿宋_GB2312" w:hAnsi="仿宋_GB2312" w:eastAsia="仿宋_GB2312" w:cs="仿宋_GB2312"/>
          <w:b w:val="0"/>
          <w:color w:val="000000"/>
          <w:sz w:val="32"/>
          <w:szCs w:val="32"/>
        </w:rPr>
        <w:t>规划，构建全市统筹、布局合理、技术先进、有效综合利用的建筑</w:t>
      </w:r>
      <w:r>
        <w:rPr>
          <w:rFonts w:hint="eastAsia" w:ascii="仿宋_GB2312" w:hAnsi="仿宋_GB2312" w:eastAsia="仿宋_GB2312" w:cs="仿宋_GB2312"/>
          <w:b w:val="0"/>
          <w:color w:val="000000"/>
          <w:sz w:val="32"/>
          <w:szCs w:val="32"/>
          <w:lang w:eastAsia="zh-CN"/>
        </w:rPr>
        <w:t>垃圾治理</w:t>
      </w:r>
      <w:r>
        <w:rPr>
          <w:rFonts w:hint="eastAsia" w:ascii="仿宋_GB2312" w:hAnsi="仿宋_GB2312" w:eastAsia="仿宋_GB2312" w:cs="仿宋_GB2312"/>
          <w:b w:val="0"/>
          <w:color w:val="000000"/>
          <w:sz w:val="32"/>
          <w:szCs w:val="32"/>
        </w:rPr>
        <w:t>体系，达到建筑</w:t>
      </w:r>
      <w:r>
        <w:rPr>
          <w:rFonts w:hint="eastAsia" w:ascii="仿宋_GB2312" w:hAnsi="仿宋_GB2312" w:eastAsia="仿宋_GB2312" w:cs="仿宋_GB2312"/>
          <w:b w:val="0"/>
          <w:color w:val="000000"/>
          <w:sz w:val="32"/>
          <w:szCs w:val="32"/>
          <w:lang w:eastAsia="zh-CN"/>
        </w:rPr>
        <w:t>垃圾</w:t>
      </w:r>
      <w:r>
        <w:rPr>
          <w:rFonts w:hint="eastAsia" w:ascii="仿宋_GB2312" w:hAnsi="仿宋_GB2312" w:eastAsia="仿宋_GB2312" w:cs="仿宋_GB2312"/>
          <w:b w:val="0"/>
          <w:color w:val="000000"/>
          <w:sz w:val="32"/>
          <w:szCs w:val="32"/>
        </w:rPr>
        <w:t xml:space="preserve">有计划、有步骤地全量安全处置，防止污染环境，保障公众健康和生态安全。 </w:t>
      </w:r>
    </w:p>
    <w:p w14:paraId="31BB024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黑体" w:hAnsi="宋体" w:eastAsia="黑体" w:cs="黑体"/>
          <w:b w:val="0"/>
          <w:color w:val="000000"/>
          <w:sz w:val="32"/>
          <w:szCs w:val="32"/>
        </w:rPr>
      </w:pPr>
      <w:r>
        <w:rPr>
          <w:rFonts w:ascii="黑体" w:hAnsi="宋体" w:eastAsia="黑体" w:cs="黑体"/>
          <w:b w:val="0"/>
          <w:color w:val="000000"/>
          <w:sz w:val="32"/>
          <w:szCs w:val="32"/>
        </w:rPr>
        <w:t>第四条 规划依据</w:t>
      </w:r>
    </w:p>
    <w:p w14:paraId="442106C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bCs/>
          <w:color w:val="000000"/>
          <w:sz w:val="32"/>
          <w:szCs w:val="32"/>
        </w:rPr>
        <w:t>（一）法律法规</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val="0"/>
          <w:color w:val="000000"/>
          <w:sz w:val="32"/>
          <w:szCs w:val="32"/>
        </w:rPr>
        <w:t xml:space="preserve">1.《中华人民共和国环境保护法》 </w:t>
      </w:r>
      <w:r>
        <w:rPr>
          <w:rFonts w:hint="eastAsia" w:ascii="仿宋_GB2312" w:hAnsi="仿宋_GB2312" w:eastAsia="仿宋_GB2312" w:cs="仿宋_GB2312"/>
          <w:b w:val="0"/>
          <w:color w:val="000000"/>
          <w:sz w:val="32"/>
          <w:szCs w:val="32"/>
          <w:lang w:eastAsia="zh-CN"/>
        </w:rPr>
        <w:t>；</w:t>
      </w:r>
      <w:r>
        <w:rPr>
          <w:rFonts w:hint="eastAsia" w:ascii="仿宋_GB2312" w:hAnsi="仿宋_GB2312" w:eastAsia="仿宋_GB2312" w:cs="仿宋_GB2312"/>
          <w:b w:val="0"/>
          <w:color w:val="000000"/>
          <w:sz w:val="32"/>
          <w:szCs w:val="32"/>
        </w:rPr>
        <w:t>2.《中华人民共和国固体废物污染环境防治法》</w:t>
      </w:r>
      <w:r>
        <w:rPr>
          <w:rFonts w:hint="eastAsia" w:ascii="仿宋_GB2312" w:hAnsi="仿宋_GB2312" w:eastAsia="仿宋_GB2312" w:cs="仿宋_GB2312"/>
          <w:b w:val="0"/>
          <w:color w:val="000000"/>
          <w:sz w:val="32"/>
          <w:szCs w:val="32"/>
          <w:lang w:eastAsia="zh-CN"/>
        </w:rPr>
        <w:t>；</w:t>
      </w:r>
      <w:r>
        <w:rPr>
          <w:rFonts w:hint="eastAsia" w:ascii="仿宋_GB2312" w:hAnsi="仿宋_GB2312" w:eastAsia="仿宋_GB2312" w:cs="仿宋_GB2312"/>
          <w:b w:val="0"/>
          <w:color w:val="000000"/>
          <w:sz w:val="32"/>
          <w:szCs w:val="32"/>
          <w:lang w:val="en-US" w:eastAsia="zh-CN"/>
        </w:rPr>
        <w:t>3.</w:t>
      </w:r>
      <w:r>
        <w:rPr>
          <w:rFonts w:hint="eastAsia" w:ascii="仿宋_GB2312" w:hAnsi="仿宋_GB2312" w:eastAsia="仿宋_GB2312" w:cs="仿宋_GB2312"/>
          <w:b w:val="0"/>
          <w:color w:val="000000"/>
          <w:sz w:val="32"/>
          <w:szCs w:val="32"/>
        </w:rPr>
        <w:t>《城市市容和环境卫生管理条例》</w:t>
      </w:r>
      <w:r>
        <w:rPr>
          <w:rFonts w:hint="eastAsia" w:ascii="仿宋_GB2312" w:hAnsi="仿宋_GB2312" w:eastAsia="仿宋_GB2312" w:cs="仿宋_GB2312"/>
          <w:b w:val="0"/>
          <w:color w:val="000000"/>
          <w:sz w:val="32"/>
          <w:szCs w:val="32"/>
          <w:lang w:eastAsia="zh-CN"/>
        </w:rPr>
        <w:t>；</w:t>
      </w:r>
      <w:r>
        <w:rPr>
          <w:rFonts w:hint="eastAsia" w:ascii="仿宋_GB2312" w:hAnsi="仿宋_GB2312" w:eastAsia="仿宋_GB2312" w:cs="仿宋_GB2312"/>
          <w:b w:val="0"/>
          <w:color w:val="000000"/>
          <w:sz w:val="32"/>
          <w:szCs w:val="32"/>
          <w:lang w:val="en-US" w:eastAsia="zh-CN"/>
        </w:rPr>
        <w:t>4</w:t>
      </w:r>
      <w:r>
        <w:rPr>
          <w:rFonts w:hint="eastAsia" w:ascii="仿宋_GB2312" w:hAnsi="仿宋_GB2312" w:eastAsia="仿宋_GB2312" w:cs="仿宋_GB2312"/>
          <w:b w:val="0"/>
          <w:color w:val="000000"/>
          <w:sz w:val="32"/>
          <w:szCs w:val="32"/>
        </w:rPr>
        <w:t>.《</w:t>
      </w:r>
      <w:r>
        <w:rPr>
          <w:rFonts w:hint="eastAsia" w:ascii="仿宋_GB2312" w:hAnsi="仿宋_GB2312" w:eastAsia="仿宋_GB2312" w:cs="仿宋_GB2312"/>
          <w:b w:val="0"/>
          <w:color w:val="000000"/>
          <w:sz w:val="32"/>
          <w:szCs w:val="32"/>
          <w:lang w:eastAsia="zh-CN"/>
        </w:rPr>
        <w:t>城市</w:t>
      </w:r>
      <w:r>
        <w:rPr>
          <w:rFonts w:hint="eastAsia" w:ascii="仿宋_GB2312" w:hAnsi="仿宋_GB2312" w:eastAsia="仿宋_GB2312" w:cs="仿宋_GB2312"/>
          <w:b w:val="0"/>
          <w:color w:val="000000"/>
          <w:sz w:val="32"/>
          <w:szCs w:val="32"/>
        </w:rPr>
        <w:t>建筑垃圾管理</w:t>
      </w:r>
      <w:r>
        <w:rPr>
          <w:rFonts w:hint="eastAsia" w:ascii="仿宋_GB2312" w:hAnsi="仿宋_GB2312" w:eastAsia="仿宋_GB2312" w:cs="仿宋_GB2312"/>
          <w:b w:val="0"/>
          <w:color w:val="000000"/>
          <w:sz w:val="32"/>
          <w:szCs w:val="32"/>
          <w:lang w:eastAsia="zh-CN"/>
        </w:rPr>
        <w:t>管理规定</w:t>
      </w:r>
      <w:r>
        <w:rPr>
          <w:rFonts w:hint="eastAsia" w:ascii="仿宋_GB2312" w:hAnsi="仿宋_GB2312" w:eastAsia="仿宋_GB2312" w:cs="仿宋_GB2312"/>
          <w:b w:val="0"/>
          <w:color w:val="000000"/>
          <w:sz w:val="32"/>
          <w:szCs w:val="32"/>
        </w:rPr>
        <w:t>》</w:t>
      </w:r>
    </w:p>
    <w:p w14:paraId="77C2329D">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color w:val="000000"/>
          <w:sz w:val="32"/>
          <w:szCs w:val="32"/>
          <w:lang w:val="en-US" w:eastAsia="zh-CN"/>
        </w:rPr>
      </w:pPr>
      <w:r>
        <w:rPr>
          <w:rFonts w:hint="eastAsia" w:ascii="仿宋_GB2312" w:hAnsi="仿宋_GB2312" w:eastAsia="仿宋_GB2312" w:cs="仿宋_GB2312"/>
          <w:b w:val="0"/>
          <w:color w:val="000000"/>
          <w:sz w:val="32"/>
          <w:szCs w:val="32"/>
        </w:rPr>
        <w:t xml:space="preserve"> </w:t>
      </w:r>
      <w:r>
        <w:rPr>
          <w:rFonts w:hint="eastAsia" w:ascii="仿宋_GB2312" w:hAnsi="仿宋_GB2312" w:eastAsia="仿宋_GB2312" w:cs="仿宋_GB2312"/>
          <w:b w:val="0"/>
          <w:color w:val="000000"/>
          <w:sz w:val="32"/>
          <w:szCs w:val="32"/>
          <w:lang w:val="en-US" w:eastAsia="zh-CN"/>
        </w:rPr>
        <w:t xml:space="preserve">  </w:t>
      </w:r>
      <w:r>
        <w:rPr>
          <w:rFonts w:hint="eastAsia" w:ascii="仿宋_GB2312" w:hAnsi="仿宋_GB2312" w:eastAsia="仿宋_GB2312" w:cs="仿宋_GB2312"/>
          <w:b/>
          <w:bCs/>
          <w:color w:val="000000"/>
          <w:sz w:val="32"/>
          <w:szCs w:val="32"/>
        </w:rPr>
        <w:t>（二）</w:t>
      </w:r>
      <w:r>
        <w:rPr>
          <w:rFonts w:hint="eastAsia" w:ascii="仿宋_GB2312" w:hAnsi="仿宋_GB2312" w:eastAsia="仿宋_GB2312" w:cs="仿宋_GB2312"/>
          <w:b/>
          <w:bCs/>
          <w:color w:val="000000"/>
          <w:sz w:val="32"/>
          <w:szCs w:val="32"/>
          <w:lang w:eastAsia="zh-CN"/>
        </w:rPr>
        <w:t>规章、</w:t>
      </w:r>
      <w:r>
        <w:rPr>
          <w:rFonts w:hint="eastAsia" w:ascii="仿宋_GB2312" w:hAnsi="仿宋_GB2312" w:eastAsia="仿宋_GB2312" w:cs="仿宋_GB2312"/>
          <w:b/>
          <w:bCs/>
          <w:color w:val="000000"/>
          <w:sz w:val="32"/>
          <w:szCs w:val="32"/>
        </w:rPr>
        <w:t>规范性文件</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val="0"/>
          <w:color w:val="000000"/>
          <w:sz w:val="32"/>
          <w:szCs w:val="32"/>
          <w:lang w:val="en-US" w:eastAsia="zh-CN"/>
        </w:rPr>
        <w:t>1.住房城乡建设部《关于印发施工现场建筑减量化指导手册（试行）的通知》（建办质〔2020</w:t>
      </w:r>
      <w:r>
        <w:rPr>
          <w:rFonts w:hint="default" w:ascii="仿宋_GB2312" w:hAnsi="仿宋_GB2312" w:eastAsia="仿宋_GB2312" w:cs="仿宋_GB2312"/>
          <w:b w:val="0"/>
          <w:color w:val="000000"/>
          <w:sz w:val="32"/>
          <w:szCs w:val="32"/>
          <w:lang w:val="en-US" w:eastAsia="zh-CN"/>
        </w:rPr>
        <w:t>〕</w:t>
      </w:r>
      <w:r>
        <w:rPr>
          <w:rFonts w:hint="eastAsia" w:ascii="仿宋_GB2312" w:hAnsi="仿宋_GB2312" w:eastAsia="仿宋_GB2312" w:cs="仿宋_GB2312"/>
          <w:b w:val="0"/>
          <w:color w:val="000000"/>
          <w:sz w:val="32"/>
          <w:szCs w:val="32"/>
          <w:lang w:val="en-US" w:eastAsia="zh-CN"/>
        </w:rPr>
        <w:t>20</w:t>
      </w:r>
      <w:r>
        <w:rPr>
          <w:rFonts w:hint="default" w:ascii="仿宋_GB2312" w:hAnsi="仿宋_GB2312" w:eastAsia="仿宋_GB2312" w:cs="仿宋_GB2312"/>
          <w:b w:val="0"/>
          <w:color w:val="000000"/>
          <w:sz w:val="32"/>
          <w:szCs w:val="32"/>
          <w:lang w:val="en-US" w:eastAsia="zh-CN"/>
        </w:rPr>
        <w:t>号</w:t>
      </w:r>
      <w:r>
        <w:rPr>
          <w:rFonts w:hint="eastAsia" w:ascii="仿宋_GB2312" w:hAnsi="仿宋_GB2312" w:eastAsia="仿宋_GB2312" w:cs="仿宋_GB2312"/>
          <w:b w:val="0"/>
          <w:color w:val="000000"/>
          <w:sz w:val="32"/>
          <w:szCs w:val="32"/>
          <w:lang w:val="en-US" w:eastAsia="zh-CN"/>
        </w:rPr>
        <w:t>；2.省住房城乡建设厅《</w:t>
      </w:r>
      <w:r>
        <w:rPr>
          <w:rFonts w:hint="default" w:ascii="仿宋_GB2312" w:hAnsi="仿宋_GB2312" w:eastAsia="仿宋_GB2312" w:cs="仿宋_GB2312"/>
          <w:b w:val="0"/>
          <w:color w:val="000000"/>
          <w:sz w:val="32"/>
          <w:szCs w:val="32"/>
          <w:lang w:val="en-US" w:eastAsia="zh-CN"/>
        </w:rPr>
        <w:t>关于规范建筑垃圾全过程管理工作的若干措施的通知</w:t>
      </w:r>
      <w:r>
        <w:rPr>
          <w:rFonts w:hint="eastAsia" w:ascii="仿宋_GB2312" w:hAnsi="仿宋_GB2312" w:eastAsia="仿宋_GB2312" w:cs="仿宋_GB2312"/>
          <w:b w:val="0"/>
          <w:color w:val="000000"/>
          <w:sz w:val="32"/>
          <w:szCs w:val="32"/>
        </w:rPr>
        <w:t>》（</w:t>
      </w:r>
      <w:r>
        <w:rPr>
          <w:rFonts w:hint="eastAsia" w:ascii="仿宋_GB2312" w:hAnsi="仿宋_GB2312" w:eastAsia="仿宋_GB2312" w:cs="仿宋_GB2312"/>
          <w:b w:val="0"/>
          <w:color w:val="000000"/>
          <w:sz w:val="32"/>
          <w:szCs w:val="32"/>
          <w:lang w:val="en-US" w:eastAsia="zh-CN"/>
        </w:rPr>
        <w:t>鲁建城管字〔2022</w:t>
      </w:r>
      <w:r>
        <w:rPr>
          <w:rFonts w:hint="default" w:ascii="仿宋_GB2312" w:hAnsi="仿宋_GB2312" w:eastAsia="仿宋_GB2312" w:cs="仿宋_GB2312"/>
          <w:b w:val="0"/>
          <w:color w:val="000000"/>
          <w:sz w:val="32"/>
          <w:szCs w:val="32"/>
          <w:lang w:val="en-US" w:eastAsia="zh-CN"/>
        </w:rPr>
        <w:t>〕</w:t>
      </w:r>
      <w:r>
        <w:rPr>
          <w:rFonts w:hint="eastAsia" w:ascii="仿宋_GB2312" w:hAnsi="仿宋_GB2312" w:eastAsia="仿宋_GB2312" w:cs="仿宋_GB2312"/>
          <w:b w:val="0"/>
          <w:color w:val="000000"/>
          <w:sz w:val="32"/>
          <w:szCs w:val="32"/>
          <w:lang w:val="en-US" w:eastAsia="zh-CN"/>
        </w:rPr>
        <w:t>10</w:t>
      </w:r>
      <w:r>
        <w:rPr>
          <w:rFonts w:hint="default" w:ascii="仿宋_GB2312" w:hAnsi="仿宋_GB2312" w:eastAsia="仿宋_GB2312" w:cs="仿宋_GB2312"/>
          <w:b w:val="0"/>
          <w:color w:val="000000"/>
          <w:sz w:val="32"/>
          <w:szCs w:val="32"/>
          <w:lang w:val="en-US" w:eastAsia="zh-CN"/>
        </w:rPr>
        <w:t xml:space="preserve"> 号</w:t>
      </w:r>
      <w:r>
        <w:rPr>
          <w:rFonts w:hint="eastAsia" w:ascii="仿宋_GB2312" w:hAnsi="仿宋_GB2312" w:eastAsia="仿宋_GB2312" w:cs="仿宋_GB2312"/>
          <w:b w:val="0"/>
          <w:color w:val="000000"/>
          <w:sz w:val="32"/>
          <w:szCs w:val="32"/>
          <w:lang w:val="en-US" w:eastAsia="zh-CN"/>
        </w:rPr>
        <w:t>）；3.《建筑垃圾资源化利用行业规范条件（暂行）》（工信部、住建部〔2016〕17 号）；4.《威海市建筑垃圾管理办法》（政府令74号）；5.《关于将建筑垃圾处置核准审批合并到建筑工程施工综合许可实行“八证合一”及进一步加强事中事后监管的通知》（威住建通字〔2023〕6 号）</w:t>
      </w:r>
    </w:p>
    <w:p w14:paraId="0A4388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bCs/>
          <w:color w:val="000000"/>
          <w:sz w:val="32"/>
          <w:szCs w:val="32"/>
        </w:rPr>
        <w:t>（三）标准及规范</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val="0"/>
          <w:color w:val="000000"/>
          <w:sz w:val="32"/>
          <w:szCs w:val="32"/>
          <w:lang w:val="en-US" w:eastAsia="zh-CN"/>
        </w:rPr>
        <w:t>1.</w:t>
      </w:r>
      <w:r>
        <w:rPr>
          <w:rFonts w:hint="eastAsia" w:ascii="仿宋_GB2312" w:hAnsi="仿宋_GB2312" w:eastAsia="仿宋_GB2312" w:cs="仿宋_GB2312"/>
          <w:b w:val="0"/>
          <w:color w:val="000000"/>
          <w:sz w:val="32"/>
          <w:szCs w:val="32"/>
        </w:rPr>
        <w:t>《环境卫生设施设置标准》（CJJ27-2012）</w:t>
      </w:r>
      <w:r>
        <w:rPr>
          <w:rFonts w:hint="eastAsia" w:ascii="仿宋_GB2312" w:hAnsi="仿宋_GB2312" w:eastAsia="仿宋_GB2312" w:cs="仿宋_GB2312"/>
          <w:b w:val="0"/>
          <w:color w:val="000000"/>
          <w:sz w:val="32"/>
          <w:szCs w:val="32"/>
          <w:lang w:eastAsia="zh-CN"/>
        </w:rPr>
        <w:t>；</w:t>
      </w:r>
      <w:r>
        <w:rPr>
          <w:rFonts w:hint="eastAsia" w:ascii="仿宋_GB2312" w:hAnsi="仿宋_GB2312" w:eastAsia="仿宋_GB2312" w:cs="仿宋_GB2312"/>
          <w:b w:val="0"/>
          <w:color w:val="000000"/>
          <w:sz w:val="32"/>
          <w:szCs w:val="32"/>
          <w:lang w:val="en-US" w:eastAsia="zh-CN"/>
        </w:rPr>
        <w:t>2.</w:t>
      </w:r>
      <w:r>
        <w:rPr>
          <w:rFonts w:hint="eastAsia" w:ascii="仿宋_GB2312" w:hAnsi="仿宋_GB2312" w:eastAsia="仿宋_GB2312" w:cs="仿宋_GB2312"/>
          <w:b w:val="0"/>
          <w:color w:val="000000"/>
          <w:sz w:val="32"/>
          <w:szCs w:val="32"/>
        </w:rPr>
        <w:t>《建筑垃圾处理技术标准》（CJJ/T134-20</w:t>
      </w:r>
      <w:r>
        <w:rPr>
          <w:rFonts w:hint="eastAsia" w:ascii="仿宋_GB2312" w:hAnsi="仿宋_GB2312" w:eastAsia="仿宋_GB2312" w:cs="仿宋_GB2312"/>
          <w:b w:val="0"/>
          <w:color w:val="000000"/>
          <w:sz w:val="32"/>
          <w:szCs w:val="32"/>
          <w:lang w:val="en-US" w:eastAsia="zh-CN"/>
        </w:rPr>
        <w:t>1</w:t>
      </w:r>
      <w:r>
        <w:rPr>
          <w:rFonts w:hint="eastAsia" w:ascii="仿宋_GB2312" w:hAnsi="仿宋_GB2312" w:eastAsia="仿宋_GB2312" w:cs="仿宋_GB2312"/>
          <w:b w:val="0"/>
          <w:color w:val="000000"/>
          <w:sz w:val="32"/>
          <w:szCs w:val="32"/>
        </w:rPr>
        <w:t>9）</w:t>
      </w:r>
      <w:r>
        <w:rPr>
          <w:rFonts w:hint="eastAsia" w:ascii="仿宋_GB2312" w:hAnsi="仿宋_GB2312" w:eastAsia="仿宋_GB2312" w:cs="仿宋_GB2312"/>
          <w:b w:val="0"/>
          <w:color w:val="000000"/>
          <w:sz w:val="32"/>
          <w:szCs w:val="32"/>
          <w:lang w:eastAsia="zh-CN"/>
        </w:rPr>
        <w:t>；</w:t>
      </w:r>
      <w:r>
        <w:rPr>
          <w:rFonts w:hint="eastAsia" w:ascii="仿宋_GB2312" w:hAnsi="仿宋_GB2312" w:eastAsia="仿宋_GB2312" w:cs="仿宋_GB2312"/>
          <w:b w:val="0"/>
          <w:color w:val="000000"/>
          <w:sz w:val="32"/>
          <w:szCs w:val="32"/>
        </w:rPr>
        <w:t xml:space="preserve"> </w:t>
      </w:r>
    </w:p>
    <w:p w14:paraId="7B8C20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bCs/>
          <w:color w:val="000000"/>
          <w:sz w:val="32"/>
          <w:szCs w:val="32"/>
        </w:rPr>
        <w:t>（四）相关规划及其他资料</w:t>
      </w:r>
      <w:r>
        <w:rPr>
          <w:rFonts w:hint="eastAsia" w:ascii="仿宋_GB2312" w:hAnsi="仿宋_GB2312" w:eastAsia="仿宋_GB2312" w:cs="仿宋_GB2312"/>
          <w:b/>
          <w:bCs/>
          <w:color w:val="000000"/>
          <w:sz w:val="32"/>
          <w:szCs w:val="32"/>
          <w:lang w:eastAsia="zh-CN"/>
        </w:rPr>
        <w:t>：</w:t>
      </w:r>
      <w:r>
        <w:rPr>
          <w:rFonts w:hint="eastAsia" w:ascii="仿宋_GB2312" w:hAnsi="仿宋_GB2312" w:eastAsia="仿宋_GB2312" w:cs="仿宋_GB2312"/>
          <w:b w:val="0"/>
          <w:color w:val="000000"/>
          <w:sz w:val="32"/>
          <w:szCs w:val="32"/>
          <w:lang w:val="en-US" w:eastAsia="zh-CN"/>
        </w:rPr>
        <w:t>1</w:t>
      </w:r>
      <w:r>
        <w:rPr>
          <w:rFonts w:hint="eastAsia" w:ascii="仿宋_GB2312" w:hAnsi="仿宋_GB2312" w:eastAsia="仿宋_GB2312" w:cs="仿宋_GB2312"/>
          <w:b w:val="0"/>
          <w:color w:val="000000"/>
          <w:sz w:val="32"/>
          <w:szCs w:val="32"/>
        </w:rPr>
        <w:t>.《威海市国土空间总体规划（2021—2035年）》</w:t>
      </w:r>
    </w:p>
    <w:p w14:paraId="51819D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黑体" w:hAnsi="宋体" w:eastAsia="黑体" w:cs="黑体"/>
          <w:b w:val="0"/>
          <w:color w:val="000000"/>
          <w:sz w:val="32"/>
          <w:szCs w:val="32"/>
        </w:rPr>
      </w:pPr>
      <w:r>
        <w:rPr>
          <w:rFonts w:ascii="黑体" w:hAnsi="宋体" w:eastAsia="黑体" w:cs="黑体"/>
          <w:b w:val="0"/>
          <w:color w:val="000000"/>
          <w:sz w:val="32"/>
          <w:szCs w:val="32"/>
        </w:rPr>
        <w:t xml:space="preserve">第五条 规划原则 </w:t>
      </w:r>
    </w:p>
    <w:p w14:paraId="6DEA57F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bCs/>
          <w:color w:val="000000"/>
          <w:sz w:val="32"/>
          <w:szCs w:val="32"/>
        </w:rPr>
        <w:t>1.源头减量、利用为先。</w:t>
      </w:r>
      <w:r>
        <w:rPr>
          <w:rFonts w:hint="eastAsia" w:ascii="仿宋_GB2312" w:hAnsi="仿宋_GB2312" w:eastAsia="仿宋_GB2312" w:cs="仿宋_GB2312"/>
          <w:b w:val="0"/>
          <w:color w:val="000000"/>
          <w:sz w:val="32"/>
          <w:szCs w:val="32"/>
        </w:rPr>
        <w:t>从源头减少建筑垃圾产生量、探索资源化利用途径，提升建筑垃圾资源化利用水平，推动再生产品的广泛应用。</w:t>
      </w:r>
    </w:p>
    <w:p w14:paraId="42F8B1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bCs/>
          <w:color w:val="000000"/>
          <w:sz w:val="32"/>
          <w:szCs w:val="32"/>
        </w:rPr>
        <w:t>2.科学预测、分类管控。</w:t>
      </w:r>
      <w:r>
        <w:rPr>
          <w:rFonts w:hint="eastAsia" w:ascii="仿宋_GB2312" w:hAnsi="仿宋_GB2312" w:eastAsia="仿宋_GB2312" w:cs="仿宋_GB2312"/>
          <w:b w:val="0"/>
          <w:color w:val="000000"/>
          <w:sz w:val="32"/>
          <w:szCs w:val="32"/>
        </w:rPr>
        <w:t>科学地选取预测因子，产量预测指标合理，明确建筑垃圾分类收集、运输、分拣、消纳等要求，对不同产生源的建筑垃圾分类管控。</w:t>
      </w:r>
    </w:p>
    <w:p w14:paraId="54BF5A9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bCs/>
          <w:color w:val="000000"/>
          <w:sz w:val="32"/>
          <w:szCs w:val="32"/>
        </w:rPr>
        <w:t>3.区域统筹、属地管理。</w:t>
      </w:r>
      <w:r>
        <w:rPr>
          <w:rFonts w:hint="eastAsia" w:ascii="仿宋_GB2312" w:hAnsi="仿宋_GB2312" w:eastAsia="仿宋_GB2312" w:cs="仿宋_GB2312"/>
          <w:b w:val="0"/>
          <w:color w:val="000000"/>
          <w:sz w:val="32"/>
          <w:szCs w:val="32"/>
        </w:rPr>
        <w:t>建立</w:t>
      </w:r>
      <w:r>
        <w:rPr>
          <w:rFonts w:hint="eastAsia" w:ascii="仿宋_GB2312" w:hAnsi="仿宋_GB2312" w:eastAsia="仿宋_GB2312" w:cs="仿宋_GB2312"/>
          <w:b w:val="0"/>
          <w:color w:val="000000"/>
          <w:sz w:val="32"/>
          <w:szCs w:val="32"/>
          <w:lang w:eastAsia="zh-CN"/>
        </w:rPr>
        <w:t>市、</w:t>
      </w:r>
      <w:r>
        <w:rPr>
          <w:rFonts w:hint="eastAsia" w:ascii="仿宋_GB2312" w:hAnsi="仿宋_GB2312" w:eastAsia="仿宋_GB2312" w:cs="仿宋_GB2312"/>
          <w:b w:val="0"/>
          <w:color w:val="000000"/>
          <w:sz w:val="32"/>
          <w:szCs w:val="32"/>
        </w:rPr>
        <w:t>区、镇</w:t>
      </w:r>
      <w:r>
        <w:rPr>
          <w:rFonts w:hint="eastAsia" w:ascii="仿宋_GB2312" w:hAnsi="仿宋_GB2312" w:eastAsia="仿宋_GB2312" w:cs="仿宋_GB2312"/>
          <w:b w:val="0"/>
          <w:color w:val="000000"/>
          <w:sz w:val="32"/>
          <w:szCs w:val="32"/>
          <w:lang w:eastAsia="zh-CN"/>
        </w:rPr>
        <w:t>三</w:t>
      </w:r>
      <w:r>
        <w:rPr>
          <w:rFonts w:hint="eastAsia" w:ascii="仿宋_GB2312" w:hAnsi="仿宋_GB2312" w:eastAsia="仿宋_GB2312" w:cs="仿宋_GB2312"/>
          <w:b w:val="0"/>
          <w:color w:val="000000"/>
          <w:sz w:val="32"/>
          <w:szCs w:val="32"/>
        </w:rPr>
        <w:t>级处理与管理构架，统筹引导建设建筑垃圾资源化利用设施，避免资源浪费。</w:t>
      </w:r>
    </w:p>
    <w:p w14:paraId="05C0A2B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bCs/>
          <w:color w:val="000000"/>
          <w:sz w:val="32"/>
          <w:szCs w:val="32"/>
        </w:rPr>
        <w:t>4.长远规划、分布实施。</w:t>
      </w:r>
      <w:r>
        <w:rPr>
          <w:rFonts w:hint="eastAsia" w:ascii="仿宋_GB2312" w:hAnsi="仿宋_GB2312" w:eastAsia="仿宋_GB2312" w:cs="仿宋_GB2312"/>
          <w:b w:val="0"/>
          <w:color w:val="000000"/>
          <w:sz w:val="32"/>
          <w:szCs w:val="32"/>
        </w:rPr>
        <w:t>从全</w:t>
      </w:r>
      <w:r>
        <w:rPr>
          <w:rFonts w:hint="eastAsia" w:ascii="仿宋_GB2312" w:hAnsi="仿宋_GB2312" w:eastAsia="仿宋_GB2312" w:cs="仿宋_GB2312"/>
          <w:b w:val="0"/>
          <w:color w:val="000000"/>
          <w:sz w:val="32"/>
          <w:szCs w:val="32"/>
          <w:lang w:eastAsia="zh-CN"/>
        </w:rPr>
        <w:t>市</w:t>
      </w:r>
      <w:r>
        <w:rPr>
          <w:rFonts w:hint="eastAsia" w:ascii="仿宋_GB2312" w:hAnsi="仿宋_GB2312" w:eastAsia="仿宋_GB2312" w:cs="仿宋_GB2312"/>
          <w:b w:val="0"/>
          <w:color w:val="000000"/>
          <w:sz w:val="32"/>
          <w:szCs w:val="32"/>
        </w:rPr>
        <w:t>层面统筹完成布局，依据产生源分布、运输距离等因素，充分考虑各区域的发展需求，尽量做到集约化，降低成本、节约用地，实现资源共享与污染集中控制。</w:t>
      </w:r>
    </w:p>
    <w:p w14:paraId="45CEF2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bCs/>
          <w:color w:val="000000"/>
          <w:sz w:val="32"/>
          <w:szCs w:val="32"/>
        </w:rPr>
        <w:t>5.政府主导、市场运作。</w:t>
      </w:r>
      <w:r>
        <w:rPr>
          <w:rFonts w:hint="eastAsia" w:ascii="仿宋_GB2312" w:hAnsi="仿宋_GB2312" w:eastAsia="仿宋_GB2312" w:cs="仿宋_GB2312"/>
          <w:b w:val="0"/>
          <w:color w:val="000000"/>
          <w:sz w:val="32"/>
          <w:szCs w:val="32"/>
        </w:rPr>
        <w:t>形成多部门联动监管合力，强化统一管理，推进建筑垃圾处理产业化发展和市场化运作，引入竞争机制，鼓励建筑垃圾处理设施建设投资多元化、运营市场化。</w:t>
      </w:r>
    </w:p>
    <w:p w14:paraId="32CC1D1B">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ascii="黑体" w:hAnsi="宋体" w:eastAsia="黑体" w:cs="黑体"/>
          <w:b w:val="0"/>
          <w:color w:val="000000"/>
          <w:sz w:val="32"/>
          <w:szCs w:val="32"/>
        </w:rPr>
      </w:pPr>
    </w:p>
    <w:p w14:paraId="249A529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ascii="黑体" w:hAnsi="宋体" w:eastAsia="黑体" w:cs="黑体"/>
          <w:b w:val="0"/>
          <w:color w:val="000000"/>
          <w:sz w:val="32"/>
          <w:szCs w:val="32"/>
        </w:rPr>
      </w:pPr>
      <w:r>
        <w:rPr>
          <w:rFonts w:ascii="黑体" w:hAnsi="宋体" w:eastAsia="黑体" w:cs="黑体"/>
          <w:b w:val="0"/>
          <w:color w:val="000000"/>
          <w:sz w:val="32"/>
          <w:szCs w:val="32"/>
        </w:rPr>
        <w:t>第二章 规划目标与指标</w:t>
      </w:r>
    </w:p>
    <w:p w14:paraId="4F031C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color w:val="000000"/>
          <w:sz w:val="32"/>
          <w:szCs w:val="32"/>
          <w:highlight w:val="yellow"/>
          <w:lang w:eastAsia="zh-CN"/>
        </w:rPr>
      </w:pPr>
      <w:r>
        <w:rPr>
          <w:rFonts w:ascii="黑体" w:hAnsi="宋体" w:eastAsia="黑体" w:cs="黑体"/>
          <w:b w:val="0"/>
          <w:color w:val="000000"/>
          <w:sz w:val="32"/>
          <w:szCs w:val="32"/>
        </w:rPr>
        <w:t xml:space="preserve">第六条 规划目标 </w:t>
      </w:r>
      <w:r>
        <w:rPr>
          <w:rFonts w:hint="eastAsia" w:ascii="仿宋_GB2312" w:hAnsi="仿宋_GB2312" w:eastAsia="仿宋_GB2312" w:cs="仿宋_GB2312"/>
          <w:b w:val="0"/>
          <w:color w:val="000000"/>
          <w:sz w:val="32"/>
          <w:szCs w:val="32"/>
        </w:rPr>
        <w:t>以“无害化、减量化、资源化”为目标，以“绿色、低碳、循环”发展为抓手，建立有效的建筑垃圾治理体系，加强建筑垃圾全过程管理，实现建筑垃圾的综合利用。</w:t>
      </w:r>
    </w:p>
    <w:p w14:paraId="576C208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黑体" w:hAnsi="宋体" w:eastAsia="黑体" w:cs="黑体"/>
          <w:b w:val="0"/>
          <w:color w:val="000000"/>
          <w:sz w:val="32"/>
          <w:szCs w:val="32"/>
        </w:rPr>
      </w:pPr>
      <w:r>
        <w:rPr>
          <w:rFonts w:ascii="黑体" w:hAnsi="宋体" w:eastAsia="黑体" w:cs="黑体"/>
          <w:b w:val="0"/>
          <w:color w:val="000000"/>
          <w:sz w:val="32"/>
          <w:szCs w:val="32"/>
        </w:rPr>
        <w:t xml:space="preserve">第七条 规划对象 </w:t>
      </w:r>
    </w:p>
    <w:p w14:paraId="3DB79FC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本规划所指的建筑垃圾是</w:t>
      </w:r>
      <w:r>
        <w:rPr>
          <w:rFonts w:ascii="仿宋_GB2312" w:hAnsi="仿宋_GB2312" w:eastAsia="仿宋_GB2312" w:cs="仿宋_GB2312"/>
          <w:b w:val="0"/>
          <w:color w:val="000000"/>
          <w:sz w:val="31"/>
          <w:szCs w:val="31"/>
        </w:rPr>
        <w:t>指新建、改建、扩建各类建设工程、装饰装修以及拆除各类建筑物、构筑物、管网等所产生的弃土、弃料以及其他废弃物</w:t>
      </w:r>
      <w:r>
        <w:rPr>
          <w:rFonts w:hint="eastAsia" w:ascii="仿宋_GB2312" w:hAnsi="仿宋_GB2312" w:eastAsia="仿宋_GB2312" w:cs="仿宋_GB2312"/>
          <w:b w:val="0"/>
          <w:color w:val="000000"/>
          <w:sz w:val="32"/>
          <w:szCs w:val="32"/>
        </w:rPr>
        <w:t>。</w:t>
      </w:r>
    </w:p>
    <w:p w14:paraId="4D6C2E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b/>
          <w:bCs/>
          <w:color w:val="000000"/>
          <w:sz w:val="32"/>
          <w:szCs w:val="32"/>
          <w:lang w:eastAsia="zh-CN"/>
        </w:rPr>
        <w:t>（一）</w:t>
      </w:r>
      <w:r>
        <w:rPr>
          <w:rFonts w:hint="eastAsia" w:ascii="仿宋_GB2312" w:hAnsi="仿宋_GB2312" w:eastAsia="仿宋_GB2312" w:cs="仿宋_GB2312"/>
          <w:b/>
          <w:bCs/>
          <w:color w:val="000000"/>
          <w:sz w:val="32"/>
          <w:szCs w:val="32"/>
        </w:rPr>
        <w:t>建筑垃圾分类</w:t>
      </w:r>
    </w:p>
    <w:p w14:paraId="789577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工程渣土：各类建筑物、构筑物、管网基础开挖过程中产生的弃土。</w:t>
      </w:r>
    </w:p>
    <w:p w14:paraId="5E45647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工程泥浆：各类建</w:t>
      </w:r>
      <w:r>
        <w:rPr>
          <w:rFonts w:hint="eastAsia" w:ascii="仿宋_GB2312" w:hAnsi="仿宋_GB2312" w:eastAsia="仿宋_GB2312" w:cs="仿宋_GB2312"/>
          <w:b w:val="0"/>
          <w:color w:val="000000"/>
          <w:sz w:val="32"/>
          <w:szCs w:val="32"/>
          <w:lang w:eastAsia="zh-CN"/>
        </w:rPr>
        <w:t>筑物、</w:t>
      </w:r>
      <w:r>
        <w:rPr>
          <w:rFonts w:hint="eastAsia" w:ascii="仿宋_GB2312" w:hAnsi="仿宋_GB2312" w:eastAsia="仿宋_GB2312" w:cs="仿宋_GB2312"/>
          <w:b w:val="0"/>
          <w:color w:val="000000"/>
          <w:sz w:val="32"/>
          <w:szCs w:val="32"/>
        </w:rPr>
        <w:t>构筑物</w:t>
      </w:r>
      <w:r>
        <w:rPr>
          <w:rFonts w:hint="eastAsia" w:ascii="仿宋_GB2312" w:hAnsi="仿宋_GB2312" w:eastAsia="仿宋_GB2312" w:cs="仿宋_GB2312"/>
          <w:b w:val="0"/>
          <w:color w:val="000000"/>
          <w:sz w:val="32"/>
          <w:szCs w:val="32"/>
          <w:lang w:eastAsia="zh-CN"/>
        </w:rPr>
        <w:t>、</w:t>
      </w:r>
      <w:r>
        <w:rPr>
          <w:rFonts w:hint="eastAsia" w:ascii="仿宋_GB2312" w:hAnsi="仿宋_GB2312" w:eastAsia="仿宋_GB2312" w:cs="仿宋_GB2312"/>
          <w:b w:val="0"/>
          <w:color w:val="000000"/>
          <w:sz w:val="32"/>
          <w:szCs w:val="32"/>
        </w:rPr>
        <w:t>桩基础、基坑围护结构以及泥水盾构、管网暗挖等施工产生的废置和剩余泥浆。</w:t>
      </w:r>
    </w:p>
    <w:p w14:paraId="567A8AF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工程垃圾：指各类建筑物、构筑物等建设过程中产生的金属、混凝土、沥青</w:t>
      </w:r>
      <w:r>
        <w:rPr>
          <w:rFonts w:hint="eastAsia" w:ascii="仿宋_GB2312" w:hAnsi="仿宋_GB2312" w:eastAsia="仿宋_GB2312" w:cs="仿宋_GB2312"/>
          <w:b w:val="0"/>
          <w:color w:val="000000"/>
          <w:sz w:val="32"/>
          <w:szCs w:val="32"/>
          <w:lang w:eastAsia="zh-CN"/>
        </w:rPr>
        <w:t>、</w:t>
      </w:r>
      <w:r>
        <w:rPr>
          <w:rFonts w:hint="eastAsia" w:ascii="仿宋_GB2312" w:hAnsi="仿宋_GB2312" w:eastAsia="仿宋_GB2312" w:cs="仿宋_GB2312"/>
          <w:b w:val="0"/>
          <w:color w:val="000000"/>
          <w:sz w:val="32"/>
          <w:szCs w:val="32"/>
        </w:rPr>
        <w:t>模板等弃料。</w:t>
      </w:r>
    </w:p>
    <w:p w14:paraId="2856B2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拆</w:t>
      </w:r>
      <w:r>
        <w:rPr>
          <w:rFonts w:hint="eastAsia" w:ascii="仿宋_GB2312" w:hAnsi="仿宋_GB2312" w:eastAsia="仿宋_GB2312" w:cs="仿宋_GB2312"/>
          <w:b w:val="0"/>
          <w:color w:val="000000"/>
          <w:sz w:val="32"/>
          <w:szCs w:val="32"/>
          <w:lang w:eastAsia="zh-CN"/>
        </w:rPr>
        <w:t>除</w:t>
      </w:r>
      <w:r>
        <w:rPr>
          <w:rFonts w:hint="eastAsia" w:ascii="仿宋_GB2312" w:hAnsi="仿宋_GB2312" w:eastAsia="仿宋_GB2312" w:cs="仿宋_GB2312"/>
          <w:b w:val="0"/>
          <w:color w:val="000000"/>
          <w:sz w:val="32"/>
          <w:szCs w:val="32"/>
        </w:rPr>
        <w:t>垃圾：指各类建筑物、构筑物等拆除过程中产生的金属、混凝土、沥青、砖瓦、陶瓷、玻璃、木材、塑料等弃料。</w:t>
      </w:r>
    </w:p>
    <w:p w14:paraId="625E197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color w:val="000000"/>
          <w:sz w:val="32"/>
          <w:szCs w:val="32"/>
        </w:rPr>
      </w:pPr>
      <w:r>
        <w:rPr>
          <w:rFonts w:hint="eastAsia" w:ascii="仿宋_GB2312" w:hAnsi="仿宋_GB2312" w:eastAsia="仿宋_GB2312" w:cs="仿宋_GB2312"/>
          <w:b w:val="0"/>
          <w:color w:val="000000"/>
          <w:sz w:val="32"/>
          <w:szCs w:val="32"/>
        </w:rPr>
        <w:t xml:space="preserve">装修垃圾：指装饰房屋过程中产生的金属、混凝土、砖、 陶瓷、玻璃、木材、塑料、石膏、涂料等废弃物。 </w:t>
      </w:r>
    </w:p>
    <w:p w14:paraId="31949704">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color w:val="000000"/>
          <w:sz w:val="32"/>
          <w:szCs w:val="32"/>
          <w:lang w:eastAsia="zh-CN"/>
        </w:rPr>
      </w:pPr>
      <w:r>
        <w:rPr>
          <w:rFonts w:hint="eastAsia" w:ascii="仿宋_GB2312" w:hAnsi="仿宋_GB2312" w:eastAsia="仿宋_GB2312" w:cs="仿宋_GB2312"/>
          <w:b/>
          <w:bCs/>
          <w:color w:val="000000"/>
          <w:sz w:val="32"/>
          <w:szCs w:val="32"/>
        </w:rPr>
        <w:t>建筑垃圾处理现状分析</w:t>
      </w:r>
    </w:p>
    <w:p w14:paraId="50BC0240">
      <w:pPr>
        <w:pStyle w:val="6"/>
        <w:keepNext w:val="0"/>
        <w:keepLines w:val="0"/>
        <w:pageBreakBefore w:val="0"/>
        <w:widowControl w:val="0"/>
        <w:kinsoku/>
        <w:wordWrap/>
        <w:overflowPunct/>
        <w:topLinePunct w:val="0"/>
        <w:autoSpaceDE/>
        <w:autoSpaceDN/>
        <w:bidi w:val="0"/>
        <w:adjustRightInd/>
        <w:spacing w:line="560" w:lineRule="exact"/>
        <w:ind w:left="0" w:leftChars="0" w:firstLine="643"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hAnsi="仿宋_GB2312" w:cs="仿宋_GB2312"/>
          <w:b/>
          <w:bCs/>
          <w:snapToGrid w:val="0"/>
          <w:color w:val="000000"/>
          <w:kern w:val="2"/>
          <w:sz w:val="32"/>
          <w:szCs w:val="32"/>
          <w:highlight w:val="none"/>
          <w:lang w:val="en-US" w:eastAsia="zh-CN" w:bidi="ar-SA"/>
        </w:rPr>
        <w:t>1.</w:t>
      </w:r>
      <w:r>
        <w:rPr>
          <w:rFonts w:hint="eastAsia" w:ascii="仿宋_GB2312" w:hAnsi="仿宋_GB2312" w:eastAsia="仿宋_GB2312" w:cs="仿宋_GB2312"/>
          <w:b/>
          <w:bCs/>
          <w:snapToGrid w:val="0"/>
          <w:color w:val="000000"/>
          <w:kern w:val="2"/>
          <w:sz w:val="32"/>
          <w:szCs w:val="32"/>
          <w:highlight w:val="none"/>
          <w:lang w:val="en-US" w:eastAsia="zh-CN" w:bidi="ar-SA"/>
        </w:rPr>
        <w:t>建筑垃圾制度</w:t>
      </w:r>
      <w:r>
        <w:rPr>
          <w:rFonts w:hint="eastAsia" w:hAnsi="仿宋_GB2312" w:cs="仿宋_GB2312"/>
          <w:b/>
          <w:bCs/>
          <w:snapToGrid w:val="0"/>
          <w:color w:val="000000"/>
          <w:kern w:val="2"/>
          <w:sz w:val="32"/>
          <w:szCs w:val="32"/>
          <w:highlight w:val="none"/>
          <w:lang w:val="en-US" w:eastAsia="zh-CN" w:bidi="ar-SA"/>
        </w:rPr>
        <w:t>建设</w:t>
      </w:r>
      <w:r>
        <w:rPr>
          <w:rFonts w:hint="eastAsia" w:ascii="仿宋_GB2312" w:hAnsi="仿宋_GB2312" w:eastAsia="仿宋_GB2312" w:cs="仿宋_GB2312"/>
          <w:b/>
          <w:bCs/>
          <w:snapToGrid w:val="0"/>
          <w:color w:val="000000"/>
          <w:kern w:val="2"/>
          <w:sz w:val="32"/>
          <w:szCs w:val="32"/>
          <w:highlight w:val="none"/>
          <w:lang w:val="en-US" w:eastAsia="zh-CN" w:bidi="ar-SA"/>
        </w:rPr>
        <w:t>。</w:t>
      </w:r>
      <w:r>
        <w:rPr>
          <w:rFonts w:hint="eastAsia" w:ascii="仿宋_GB2312" w:hAnsi="仿宋_GB2312" w:eastAsia="仿宋_GB2312" w:cs="仿宋_GB2312"/>
          <w:b w:val="0"/>
          <w:bCs w:val="0"/>
          <w:snapToGrid w:val="0"/>
          <w:color w:val="000000"/>
          <w:kern w:val="2"/>
          <w:sz w:val="32"/>
          <w:szCs w:val="32"/>
          <w:highlight w:val="none"/>
          <w:lang w:val="en-US" w:eastAsia="zh-CN" w:bidi="ar-SA"/>
        </w:rPr>
        <w:t>2021年对《威海市建筑垃圾管理办法》进行修改完善，出台《威海市建筑垃圾减量化工作实施方案》《关于将建筑垃圾处置核准审批合并到建筑工程施工综合许可实行“八证合一”及进一步加强事中事后监管的通知》等</w:t>
      </w:r>
      <w:r>
        <w:rPr>
          <w:rFonts w:hint="eastAsia" w:hAnsi="仿宋_GB2312" w:cs="仿宋_GB2312"/>
          <w:b w:val="0"/>
          <w:bCs w:val="0"/>
          <w:snapToGrid w:val="0"/>
          <w:color w:val="000000"/>
          <w:kern w:val="2"/>
          <w:sz w:val="32"/>
          <w:szCs w:val="32"/>
          <w:highlight w:val="none"/>
          <w:lang w:val="en-US" w:eastAsia="zh-CN" w:bidi="ar-SA"/>
        </w:rPr>
        <w:t>规范性文件</w:t>
      </w:r>
      <w:r>
        <w:rPr>
          <w:rFonts w:hint="eastAsia" w:ascii="仿宋_GB2312" w:hAnsi="仿宋_GB2312" w:eastAsia="仿宋_GB2312" w:cs="仿宋_GB2312"/>
          <w:b w:val="0"/>
          <w:bCs w:val="0"/>
          <w:snapToGrid w:val="0"/>
          <w:color w:val="000000"/>
          <w:kern w:val="2"/>
          <w:sz w:val="32"/>
          <w:szCs w:val="32"/>
          <w:highlight w:val="none"/>
          <w:lang w:val="en-US" w:eastAsia="zh-CN" w:bidi="ar-SA"/>
        </w:rPr>
        <w:t>，为实现建筑垃圾规范化管理提供制度保障。</w:t>
      </w:r>
    </w:p>
    <w:p w14:paraId="120B6F93">
      <w:pPr>
        <w:pStyle w:val="6"/>
        <w:keepNext w:val="0"/>
        <w:keepLines w:val="0"/>
        <w:pageBreakBefore w:val="0"/>
        <w:widowControl w:val="0"/>
        <w:kinsoku/>
        <w:wordWrap/>
        <w:overflowPunct/>
        <w:topLinePunct w:val="0"/>
        <w:autoSpaceDE/>
        <w:autoSpaceDN/>
        <w:bidi w:val="0"/>
        <w:adjustRightInd/>
        <w:spacing w:line="560" w:lineRule="exact"/>
        <w:ind w:left="0" w:leftChars="0" w:firstLine="643"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hAnsi="仿宋_GB2312" w:cs="仿宋_GB2312"/>
          <w:b/>
          <w:bCs/>
          <w:snapToGrid w:val="0"/>
          <w:color w:val="000000"/>
          <w:kern w:val="2"/>
          <w:sz w:val="32"/>
          <w:szCs w:val="32"/>
          <w:highlight w:val="none"/>
          <w:lang w:val="en-US" w:eastAsia="zh-CN" w:bidi="ar-SA"/>
        </w:rPr>
        <w:t>2.</w:t>
      </w:r>
      <w:r>
        <w:rPr>
          <w:rFonts w:hint="eastAsia" w:ascii="仿宋_GB2312" w:hAnsi="仿宋_GB2312" w:eastAsia="仿宋_GB2312" w:cs="仿宋_GB2312"/>
          <w:b/>
          <w:bCs/>
          <w:snapToGrid w:val="0"/>
          <w:color w:val="000000"/>
          <w:kern w:val="2"/>
          <w:sz w:val="32"/>
          <w:szCs w:val="32"/>
          <w:highlight w:val="none"/>
          <w:lang w:val="en-US" w:eastAsia="zh-CN" w:bidi="ar-SA"/>
        </w:rPr>
        <w:t>源头减量。</w:t>
      </w:r>
      <w:r>
        <w:rPr>
          <w:rFonts w:hint="eastAsia" w:ascii="仿宋_GB2312" w:hAnsi="仿宋_GB2312" w:eastAsia="仿宋_GB2312" w:cs="仿宋_GB2312"/>
          <w:b w:val="0"/>
          <w:bCs w:val="0"/>
          <w:snapToGrid w:val="0"/>
          <w:color w:val="000000"/>
          <w:kern w:val="2"/>
          <w:sz w:val="32"/>
          <w:szCs w:val="32"/>
          <w:highlight w:val="none"/>
          <w:lang w:val="en-US" w:eastAsia="zh-CN" w:bidi="ar-SA"/>
        </w:rPr>
        <w:t>依据《威海市建筑垃圾减量化工作实施方案》要求，组织开展全市建筑工程质量检查</w:t>
      </w:r>
      <w:r>
        <w:rPr>
          <w:rFonts w:hint="eastAsia" w:hAnsi="仿宋_GB2312" w:cs="仿宋_GB2312"/>
          <w:b w:val="0"/>
          <w:bCs w:val="0"/>
          <w:snapToGrid w:val="0"/>
          <w:color w:val="000000"/>
          <w:kern w:val="2"/>
          <w:sz w:val="32"/>
          <w:szCs w:val="32"/>
          <w:highlight w:val="none"/>
          <w:lang w:val="en-US" w:eastAsia="zh-CN" w:bidi="ar-SA"/>
        </w:rPr>
        <w:t>，</w:t>
      </w:r>
      <w:r>
        <w:rPr>
          <w:rFonts w:hint="eastAsia" w:ascii="仿宋_GB2312" w:hAnsi="仿宋_GB2312" w:eastAsia="仿宋_GB2312" w:cs="仿宋_GB2312"/>
          <w:b w:val="0"/>
          <w:bCs w:val="0"/>
          <w:snapToGrid w:val="0"/>
          <w:color w:val="000000"/>
          <w:kern w:val="2"/>
          <w:sz w:val="32"/>
          <w:szCs w:val="32"/>
          <w:highlight w:val="none"/>
          <w:lang w:val="en-US" w:eastAsia="zh-CN" w:bidi="ar-SA"/>
        </w:rPr>
        <w:t>在工程开工前指导参建责任企业编制施工现场建筑垃圾减量化专项方案，明确建筑垃圾减量化目标和职责分工，提出源头减量、分类管理、就地处置、排放控制的具体措施。督导参建企业按设计要求控制进场材料和设备的质量，严把施工质量关，强化各工序质量管控，减少因质量问题导致的返工或修补，降低建筑垃圾产生量。指导设计单位根据工程特点合理确定标高，控制土方填挖平衡，尽量减少渣土外运。全面推广应用装配式建筑，推动生产部品化、施工集成化，减少施工现场建筑垃圾生产、排放。在公共建筑中推广应用钢结构体系，提升工程全寿命期的耐久性、可持续性。</w:t>
      </w:r>
    </w:p>
    <w:p w14:paraId="7B979573">
      <w:pPr>
        <w:pStyle w:val="6"/>
        <w:keepNext w:val="0"/>
        <w:keepLines w:val="0"/>
        <w:pageBreakBefore w:val="0"/>
        <w:widowControl w:val="0"/>
        <w:kinsoku/>
        <w:wordWrap/>
        <w:overflowPunct/>
        <w:topLinePunct w:val="0"/>
        <w:autoSpaceDE/>
        <w:autoSpaceDN/>
        <w:bidi w:val="0"/>
        <w:adjustRightInd/>
        <w:spacing w:line="560" w:lineRule="exact"/>
        <w:ind w:left="0" w:leftChars="0" w:firstLine="643"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hAnsi="仿宋_GB2312" w:cs="仿宋_GB2312"/>
          <w:b/>
          <w:bCs/>
          <w:snapToGrid w:val="0"/>
          <w:color w:val="000000"/>
          <w:kern w:val="2"/>
          <w:sz w:val="32"/>
          <w:szCs w:val="32"/>
          <w:highlight w:val="none"/>
          <w:lang w:val="en-US" w:eastAsia="zh-CN" w:bidi="ar-SA"/>
        </w:rPr>
        <w:t>3.</w:t>
      </w:r>
      <w:r>
        <w:rPr>
          <w:rFonts w:hint="eastAsia" w:ascii="仿宋_GB2312" w:hAnsi="仿宋_GB2312" w:eastAsia="仿宋_GB2312" w:cs="仿宋_GB2312"/>
          <w:b/>
          <w:bCs/>
          <w:snapToGrid w:val="0"/>
          <w:color w:val="000000"/>
          <w:kern w:val="2"/>
          <w:sz w:val="32"/>
          <w:szCs w:val="32"/>
          <w:highlight w:val="none"/>
          <w:lang w:val="en-US" w:eastAsia="zh-CN" w:bidi="ar-SA"/>
        </w:rPr>
        <w:t>处置利用体系。</w:t>
      </w:r>
      <w:r>
        <w:rPr>
          <w:rFonts w:hint="eastAsia" w:ascii="仿宋_GB2312" w:hAnsi="仿宋_GB2312" w:eastAsia="仿宋_GB2312" w:cs="仿宋_GB2312"/>
          <w:b w:val="0"/>
          <w:bCs w:val="0"/>
          <w:snapToGrid w:val="0"/>
          <w:color w:val="000000"/>
          <w:kern w:val="2"/>
          <w:sz w:val="32"/>
          <w:szCs w:val="32"/>
          <w:highlight w:val="none"/>
          <w:lang w:val="en-US" w:eastAsia="zh-CN" w:bidi="ar-SA"/>
        </w:rPr>
        <w:t>目前，全市运行的建筑垃圾</w:t>
      </w:r>
      <w:r>
        <w:rPr>
          <w:rFonts w:hint="eastAsia" w:hAnsi="仿宋_GB2312" w:cs="仿宋_GB2312"/>
          <w:b w:val="0"/>
          <w:bCs w:val="0"/>
          <w:snapToGrid w:val="0"/>
          <w:color w:val="000000"/>
          <w:kern w:val="2"/>
          <w:sz w:val="32"/>
          <w:szCs w:val="32"/>
          <w:highlight w:val="none"/>
          <w:lang w:val="en-US" w:eastAsia="zh-CN" w:bidi="ar-SA"/>
        </w:rPr>
        <w:t>资源化利用</w:t>
      </w:r>
      <w:r>
        <w:rPr>
          <w:rFonts w:hint="eastAsia" w:ascii="仿宋_GB2312" w:hAnsi="仿宋_GB2312" w:eastAsia="仿宋_GB2312" w:cs="仿宋_GB2312"/>
          <w:b w:val="0"/>
          <w:bCs w:val="0"/>
          <w:snapToGrid w:val="0"/>
          <w:color w:val="000000"/>
          <w:kern w:val="2"/>
          <w:sz w:val="32"/>
          <w:szCs w:val="32"/>
          <w:highlight w:val="none"/>
          <w:lang w:val="en-US" w:eastAsia="zh-CN" w:bidi="ar-SA"/>
        </w:rPr>
        <w:t>项目共3个，设计库容总量173万吨，已接收建筑垃圾37万吨，剩余库容136万吨。2023年</w:t>
      </w:r>
      <w:r>
        <w:rPr>
          <w:rFonts w:hint="eastAsia" w:hAnsi="仿宋_GB2312" w:cs="仿宋_GB2312"/>
          <w:b w:val="0"/>
          <w:bCs w:val="0"/>
          <w:snapToGrid w:val="0"/>
          <w:color w:val="000000"/>
          <w:kern w:val="2"/>
          <w:sz w:val="32"/>
          <w:szCs w:val="32"/>
          <w:highlight w:val="none"/>
          <w:lang w:val="en-US" w:eastAsia="zh-CN" w:bidi="ar-SA"/>
        </w:rPr>
        <w:t>全</w:t>
      </w:r>
      <w:r>
        <w:rPr>
          <w:rFonts w:hint="eastAsia" w:ascii="仿宋_GB2312" w:hAnsi="仿宋_GB2312" w:eastAsia="仿宋_GB2312" w:cs="仿宋_GB2312"/>
          <w:b w:val="0"/>
          <w:bCs w:val="0"/>
          <w:snapToGrid w:val="0"/>
          <w:color w:val="000000"/>
          <w:kern w:val="2"/>
          <w:sz w:val="32"/>
          <w:szCs w:val="32"/>
          <w:highlight w:val="none"/>
          <w:lang w:val="en-US" w:eastAsia="zh-CN" w:bidi="ar-SA"/>
        </w:rPr>
        <w:t>市在建建筑工程346个，产生建筑垃圾22.0万吨，其中工程渣土18.83万吨，工程泥浆0.28万吨，工程垃圾2.43万吨，拆除垃圾0.11万吨，装修垃圾0.4万吨，全部进行资源化利用。</w:t>
      </w:r>
      <w:r>
        <w:rPr>
          <w:rFonts w:hint="eastAsia" w:hAnsi="仿宋_GB2312" w:cs="仿宋_GB2312"/>
          <w:b w:val="0"/>
          <w:bCs w:val="0"/>
          <w:snapToGrid w:val="0"/>
          <w:color w:val="000000"/>
          <w:kern w:val="2"/>
          <w:sz w:val="32"/>
          <w:szCs w:val="32"/>
          <w:highlight w:val="none"/>
          <w:lang w:val="en-US" w:eastAsia="zh-CN" w:bidi="ar-SA"/>
        </w:rPr>
        <w:t>在建资源化资源化利用项目1个，</w:t>
      </w:r>
      <w:r>
        <w:rPr>
          <w:rFonts w:hint="eastAsia" w:ascii="仿宋_GB2312" w:hAnsi="仿宋_GB2312" w:eastAsia="仿宋_GB2312" w:cs="仿宋_GB2312"/>
          <w:b w:val="0"/>
          <w:bCs w:val="0"/>
          <w:snapToGrid w:val="0"/>
          <w:color w:val="000000"/>
          <w:kern w:val="2"/>
          <w:sz w:val="32"/>
          <w:szCs w:val="32"/>
          <w:highlight w:val="none"/>
          <w:lang w:val="en-US" w:eastAsia="zh-CN" w:bidi="ar-SA"/>
        </w:rPr>
        <w:t>总投资1.4亿元，资金企业自筹，占地133亩，总建筑面积89031平方米</w:t>
      </w:r>
      <w:r>
        <w:rPr>
          <w:rFonts w:hint="eastAsia" w:hAnsi="仿宋_GB2312" w:cs="仿宋_GB2312"/>
          <w:b w:val="0"/>
          <w:bCs w:val="0"/>
          <w:snapToGrid w:val="0"/>
          <w:color w:val="000000"/>
          <w:kern w:val="2"/>
          <w:sz w:val="32"/>
          <w:szCs w:val="32"/>
          <w:highlight w:val="none"/>
          <w:lang w:val="en-US" w:eastAsia="zh-CN" w:bidi="ar-SA"/>
        </w:rPr>
        <w:t>，规划</w:t>
      </w:r>
      <w:r>
        <w:rPr>
          <w:rFonts w:hint="eastAsia" w:ascii="仿宋_GB2312" w:hAnsi="仿宋_GB2312" w:eastAsia="仿宋_GB2312" w:cs="仿宋_GB2312"/>
          <w:b w:val="0"/>
          <w:bCs w:val="0"/>
          <w:snapToGrid w:val="0"/>
          <w:color w:val="000000"/>
          <w:kern w:val="2"/>
          <w:sz w:val="32"/>
          <w:szCs w:val="32"/>
          <w:highlight w:val="none"/>
          <w:lang w:val="en-US" w:eastAsia="zh-CN" w:bidi="ar-SA"/>
        </w:rPr>
        <w:t>年处理建筑垃圾100万吨、处理大件垃圾1.2万吨。</w:t>
      </w:r>
    </w:p>
    <w:p w14:paraId="1D08D3F8">
      <w:pPr>
        <w:pStyle w:val="6"/>
        <w:keepNext w:val="0"/>
        <w:keepLines w:val="0"/>
        <w:pageBreakBefore w:val="0"/>
        <w:widowControl w:val="0"/>
        <w:kinsoku/>
        <w:wordWrap/>
        <w:overflowPunct/>
        <w:topLinePunct w:val="0"/>
        <w:autoSpaceDE/>
        <w:autoSpaceDN/>
        <w:bidi w:val="0"/>
        <w:adjustRightInd/>
        <w:spacing w:line="560" w:lineRule="exact"/>
        <w:ind w:left="0" w:leftChars="0" w:firstLine="643"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hAnsi="仿宋_GB2312" w:cs="仿宋_GB2312"/>
          <w:b/>
          <w:bCs/>
          <w:snapToGrid w:val="0"/>
          <w:color w:val="000000"/>
          <w:kern w:val="2"/>
          <w:sz w:val="32"/>
          <w:szCs w:val="32"/>
          <w:highlight w:val="none"/>
          <w:lang w:val="en-US" w:eastAsia="zh-CN" w:bidi="ar-SA"/>
        </w:rPr>
        <w:t>4.</w:t>
      </w:r>
      <w:r>
        <w:rPr>
          <w:rFonts w:hint="eastAsia" w:ascii="仿宋_GB2312" w:hAnsi="仿宋_GB2312" w:eastAsia="仿宋_GB2312" w:cs="仿宋_GB2312"/>
          <w:b/>
          <w:bCs/>
          <w:snapToGrid w:val="0"/>
          <w:color w:val="000000"/>
          <w:kern w:val="2"/>
          <w:sz w:val="32"/>
          <w:szCs w:val="32"/>
          <w:highlight w:val="none"/>
          <w:lang w:val="en-US" w:eastAsia="zh-CN" w:bidi="ar-SA"/>
        </w:rPr>
        <w:t>运输专项整治。</w:t>
      </w:r>
      <w:r>
        <w:rPr>
          <w:rFonts w:hint="eastAsia" w:ascii="仿宋_GB2312" w:hAnsi="仿宋_GB2312" w:eastAsia="仿宋_GB2312" w:cs="仿宋_GB2312"/>
          <w:b w:val="0"/>
          <w:bCs w:val="0"/>
          <w:snapToGrid w:val="0"/>
          <w:color w:val="000000"/>
          <w:kern w:val="2"/>
          <w:sz w:val="32"/>
          <w:szCs w:val="32"/>
          <w:highlight w:val="none"/>
          <w:lang w:val="en-US" w:eastAsia="zh-CN" w:bidi="ar-SA"/>
        </w:rPr>
        <w:t>市住房城乡建设、</w:t>
      </w:r>
      <w:r>
        <w:rPr>
          <w:rFonts w:hint="eastAsia" w:hAnsi="仿宋_GB2312" w:cs="仿宋_GB2312"/>
          <w:b w:val="0"/>
          <w:bCs w:val="0"/>
          <w:snapToGrid w:val="0"/>
          <w:color w:val="000000"/>
          <w:kern w:val="2"/>
          <w:sz w:val="32"/>
          <w:szCs w:val="32"/>
          <w:highlight w:val="none"/>
          <w:lang w:val="en-US" w:eastAsia="zh-CN" w:bidi="ar-SA"/>
        </w:rPr>
        <w:t>市</w:t>
      </w:r>
      <w:r>
        <w:rPr>
          <w:rFonts w:hint="eastAsia" w:ascii="仿宋_GB2312" w:hAnsi="仿宋_GB2312" w:eastAsia="仿宋_GB2312" w:cs="仿宋_GB2312"/>
          <w:b w:val="0"/>
          <w:bCs w:val="0"/>
          <w:snapToGrid w:val="0"/>
          <w:color w:val="000000"/>
          <w:kern w:val="2"/>
          <w:sz w:val="32"/>
          <w:szCs w:val="32"/>
          <w:highlight w:val="none"/>
          <w:lang w:val="en-US" w:eastAsia="zh-CN" w:bidi="ar-SA"/>
        </w:rPr>
        <w:t>公安局交警支队、市交通运输局、</w:t>
      </w:r>
      <w:r>
        <w:rPr>
          <w:rFonts w:hint="eastAsia" w:hAnsi="仿宋_GB2312" w:cs="仿宋_GB2312"/>
          <w:b w:val="0"/>
          <w:bCs w:val="0"/>
          <w:snapToGrid w:val="0"/>
          <w:color w:val="000000"/>
          <w:kern w:val="2"/>
          <w:sz w:val="32"/>
          <w:szCs w:val="32"/>
          <w:highlight w:val="none"/>
          <w:lang w:val="en-US" w:eastAsia="zh-CN" w:bidi="ar-SA"/>
        </w:rPr>
        <w:t>市</w:t>
      </w:r>
      <w:r>
        <w:rPr>
          <w:rFonts w:hint="eastAsia" w:ascii="仿宋_GB2312" w:hAnsi="仿宋_GB2312" w:eastAsia="仿宋_GB2312" w:cs="仿宋_GB2312"/>
          <w:b w:val="0"/>
          <w:bCs w:val="0"/>
          <w:snapToGrid w:val="0"/>
          <w:color w:val="000000"/>
          <w:kern w:val="2"/>
          <w:sz w:val="32"/>
          <w:szCs w:val="32"/>
          <w:highlight w:val="none"/>
          <w:lang w:val="en-US" w:eastAsia="zh-CN" w:bidi="ar-SA"/>
        </w:rPr>
        <w:t>行政审批</w:t>
      </w:r>
      <w:r>
        <w:rPr>
          <w:rFonts w:hint="eastAsia" w:hAnsi="仿宋_GB2312" w:cs="仿宋_GB2312"/>
          <w:b w:val="0"/>
          <w:bCs w:val="0"/>
          <w:snapToGrid w:val="0"/>
          <w:color w:val="000000"/>
          <w:kern w:val="2"/>
          <w:sz w:val="32"/>
          <w:szCs w:val="32"/>
          <w:highlight w:val="none"/>
          <w:lang w:val="en-US" w:eastAsia="zh-CN" w:bidi="ar-SA"/>
        </w:rPr>
        <w:t>服务</w:t>
      </w:r>
      <w:r>
        <w:rPr>
          <w:rFonts w:hint="eastAsia" w:ascii="仿宋_GB2312" w:hAnsi="仿宋_GB2312" w:eastAsia="仿宋_GB2312" w:cs="仿宋_GB2312"/>
          <w:b w:val="0"/>
          <w:bCs w:val="0"/>
          <w:snapToGrid w:val="0"/>
          <w:color w:val="000000"/>
          <w:kern w:val="2"/>
          <w:sz w:val="32"/>
          <w:szCs w:val="32"/>
          <w:highlight w:val="none"/>
          <w:lang w:val="en-US" w:eastAsia="zh-CN" w:bidi="ar-SA"/>
        </w:rPr>
        <w:t>局、</w:t>
      </w:r>
      <w:r>
        <w:rPr>
          <w:rFonts w:hint="eastAsia" w:hAnsi="仿宋_GB2312" w:cs="仿宋_GB2312"/>
          <w:b w:val="0"/>
          <w:bCs w:val="0"/>
          <w:snapToGrid w:val="0"/>
          <w:color w:val="000000"/>
          <w:kern w:val="2"/>
          <w:sz w:val="32"/>
          <w:szCs w:val="32"/>
          <w:highlight w:val="none"/>
          <w:lang w:val="en-US" w:eastAsia="zh-CN" w:bidi="ar-SA"/>
        </w:rPr>
        <w:t>市</w:t>
      </w:r>
      <w:r>
        <w:rPr>
          <w:rFonts w:hint="eastAsia" w:ascii="仿宋_GB2312" w:hAnsi="仿宋_GB2312" w:eastAsia="仿宋_GB2312" w:cs="仿宋_GB2312"/>
          <w:b w:val="0"/>
          <w:bCs w:val="0"/>
          <w:snapToGrid w:val="0"/>
          <w:color w:val="000000"/>
          <w:kern w:val="2"/>
          <w:sz w:val="32"/>
          <w:szCs w:val="32"/>
          <w:highlight w:val="none"/>
          <w:lang w:val="en-US" w:eastAsia="zh-CN" w:bidi="ar-SA"/>
        </w:rPr>
        <w:t>生态环境局、</w:t>
      </w:r>
      <w:r>
        <w:rPr>
          <w:rFonts w:hint="eastAsia" w:hAnsi="仿宋_GB2312" w:cs="仿宋_GB2312"/>
          <w:b w:val="0"/>
          <w:bCs w:val="0"/>
          <w:snapToGrid w:val="0"/>
          <w:color w:val="000000"/>
          <w:kern w:val="2"/>
          <w:sz w:val="32"/>
          <w:szCs w:val="32"/>
          <w:highlight w:val="none"/>
          <w:lang w:val="en-US" w:eastAsia="zh-CN" w:bidi="ar-SA"/>
        </w:rPr>
        <w:t>市自然</w:t>
      </w:r>
      <w:r>
        <w:rPr>
          <w:rFonts w:hint="eastAsia" w:ascii="仿宋_GB2312" w:hAnsi="仿宋_GB2312" w:eastAsia="仿宋_GB2312" w:cs="仿宋_GB2312"/>
          <w:b w:val="0"/>
          <w:bCs w:val="0"/>
          <w:snapToGrid w:val="0"/>
          <w:color w:val="000000"/>
          <w:kern w:val="2"/>
          <w:sz w:val="32"/>
          <w:szCs w:val="32"/>
          <w:highlight w:val="none"/>
          <w:lang w:val="en-US" w:eastAsia="zh-CN" w:bidi="ar-SA"/>
        </w:rPr>
        <w:t>资源和规划局开展整治行动，有效防范在运输处置过程中存在的撒漏、超载、污染城市环境的现象，2023年</w:t>
      </w:r>
      <w:r>
        <w:rPr>
          <w:rFonts w:hint="eastAsia" w:hAnsi="仿宋_GB2312" w:cs="仿宋_GB2312"/>
          <w:b w:val="0"/>
          <w:bCs w:val="0"/>
          <w:snapToGrid w:val="0"/>
          <w:color w:val="000000"/>
          <w:kern w:val="2"/>
          <w:sz w:val="32"/>
          <w:szCs w:val="32"/>
          <w:highlight w:val="none"/>
          <w:lang w:val="en-US" w:eastAsia="zh-CN" w:bidi="ar-SA"/>
        </w:rPr>
        <w:t>查处</w:t>
      </w:r>
      <w:r>
        <w:rPr>
          <w:rFonts w:hint="eastAsia" w:ascii="仿宋_GB2312" w:hAnsi="仿宋_GB2312" w:eastAsia="仿宋_GB2312" w:cs="仿宋_GB2312"/>
          <w:b w:val="0"/>
          <w:bCs w:val="0"/>
          <w:snapToGrid w:val="0"/>
          <w:color w:val="000000"/>
          <w:kern w:val="2"/>
          <w:sz w:val="32"/>
          <w:szCs w:val="32"/>
          <w:highlight w:val="none"/>
          <w:lang w:val="en-US" w:eastAsia="zh-CN" w:bidi="ar-SA"/>
        </w:rPr>
        <w:t>建筑垃圾运输</w:t>
      </w:r>
      <w:r>
        <w:rPr>
          <w:rFonts w:hint="eastAsia" w:hAnsi="仿宋_GB2312" w:cs="仿宋_GB2312"/>
          <w:b w:val="0"/>
          <w:bCs w:val="0"/>
          <w:snapToGrid w:val="0"/>
          <w:color w:val="000000"/>
          <w:kern w:val="2"/>
          <w:sz w:val="32"/>
          <w:szCs w:val="32"/>
          <w:highlight w:val="none"/>
          <w:lang w:val="en-US" w:eastAsia="zh-CN" w:bidi="ar-SA"/>
        </w:rPr>
        <w:t>违法违规</w:t>
      </w:r>
      <w:r>
        <w:rPr>
          <w:rFonts w:hint="eastAsia" w:ascii="仿宋_GB2312" w:hAnsi="仿宋_GB2312" w:eastAsia="仿宋_GB2312" w:cs="仿宋_GB2312"/>
          <w:b w:val="0"/>
          <w:bCs w:val="0"/>
          <w:snapToGrid w:val="0"/>
          <w:color w:val="000000"/>
          <w:kern w:val="2"/>
          <w:sz w:val="32"/>
          <w:szCs w:val="32"/>
          <w:highlight w:val="none"/>
          <w:lang w:val="en-US" w:eastAsia="zh-CN" w:bidi="ar-SA"/>
        </w:rPr>
        <w:t>案件7起，罚款1.15万元。</w:t>
      </w:r>
    </w:p>
    <w:p w14:paraId="570520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snapToGrid w:val="0"/>
          <w:color w:val="000000"/>
          <w:kern w:val="2"/>
          <w:sz w:val="32"/>
          <w:szCs w:val="32"/>
          <w:highlight w:val="none"/>
          <w:lang w:val="en-US" w:eastAsia="zh-CN" w:bidi="ar-SA"/>
        </w:rPr>
      </w:pPr>
      <w:r>
        <w:rPr>
          <w:rFonts w:hint="eastAsia" w:ascii="黑体" w:hAnsi="宋体" w:eastAsia="黑体" w:cs="黑体"/>
          <w:b w:val="0"/>
          <w:color w:val="000000"/>
          <w:sz w:val="32"/>
          <w:szCs w:val="32"/>
          <w:highlight w:val="none"/>
          <w:lang w:eastAsia="zh-CN"/>
        </w:rPr>
        <w:t>第八条</w:t>
      </w:r>
      <w:r>
        <w:rPr>
          <w:rFonts w:hint="eastAsia" w:ascii="黑体" w:hAnsi="宋体" w:eastAsia="黑体" w:cs="黑体"/>
          <w:b w:val="0"/>
          <w:color w:val="000000"/>
          <w:sz w:val="32"/>
          <w:szCs w:val="32"/>
          <w:highlight w:val="none"/>
          <w:lang w:val="en-US" w:eastAsia="zh-CN"/>
        </w:rPr>
        <w:t xml:space="preserve"> </w:t>
      </w:r>
      <w:r>
        <w:rPr>
          <w:rFonts w:ascii="黑体" w:hAnsi="宋体" w:eastAsia="黑体" w:cs="黑体"/>
          <w:b w:val="0"/>
          <w:color w:val="000000"/>
          <w:sz w:val="32"/>
          <w:szCs w:val="32"/>
          <w:highlight w:val="none"/>
        </w:rPr>
        <w:t>规划指标</w:t>
      </w:r>
      <w:r>
        <w:rPr>
          <w:rFonts w:hint="eastAsia" w:ascii="黑体" w:hAnsi="宋体" w:eastAsia="黑体" w:cs="黑体"/>
          <w:b w:val="0"/>
          <w:color w:val="000000"/>
          <w:sz w:val="32"/>
          <w:szCs w:val="32"/>
          <w:highlight w:val="none"/>
          <w:lang w:val="en-US" w:eastAsia="zh-CN"/>
        </w:rPr>
        <w:t xml:space="preserve"> </w:t>
      </w:r>
      <w:r>
        <w:rPr>
          <w:rFonts w:hint="eastAsia" w:ascii="Times New Roman" w:hAnsi="Times New Roman" w:eastAsia="仿宋_GB2312" w:cs="Times New Roman"/>
          <w:b w:val="0"/>
          <w:bCs w:val="0"/>
          <w:snapToGrid w:val="0"/>
          <w:color w:val="000000"/>
          <w:kern w:val="2"/>
          <w:sz w:val="32"/>
          <w:szCs w:val="32"/>
          <w:highlight w:val="none"/>
          <w:lang w:val="en-US" w:eastAsia="zh-CN" w:bidi="ar-SA"/>
        </w:rPr>
        <w:t>拟定近期2025年与远期 2030年指标。</w:t>
      </w:r>
    </w:p>
    <w:p w14:paraId="7912B2F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color w:val="000000"/>
          <w:sz w:val="32"/>
          <w:szCs w:val="32"/>
          <w:highlight w:val="none"/>
        </w:rPr>
      </w:pPr>
      <w:r>
        <w:rPr>
          <w:rFonts w:hint="eastAsia" w:ascii="黑体" w:hAnsi="黑体" w:eastAsia="黑体" w:cs="黑体"/>
          <w:b w:val="0"/>
          <w:bCs/>
          <w:color w:val="000000"/>
          <w:sz w:val="32"/>
          <w:szCs w:val="32"/>
          <w:highlight w:val="none"/>
        </w:rPr>
        <w:t>表 1 2022—20</w:t>
      </w:r>
      <w:r>
        <w:rPr>
          <w:rFonts w:hint="eastAsia" w:ascii="黑体" w:hAnsi="黑体" w:eastAsia="黑体" w:cs="黑体"/>
          <w:b w:val="0"/>
          <w:bCs/>
          <w:color w:val="000000"/>
          <w:sz w:val="32"/>
          <w:szCs w:val="32"/>
          <w:highlight w:val="none"/>
          <w:lang w:val="en-US" w:eastAsia="zh-CN"/>
        </w:rPr>
        <w:t>3</w:t>
      </w:r>
      <w:r>
        <w:rPr>
          <w:rFonts w:hint="eastAsia" w:ascii="黑体" w:hAnsi="黑体" w:eastAsia="黑体" w:cs="黑体"/>
          <w:b w:val="0"/>
          <w:bCs/>
          <w:color w:val="000000"/>
          <w:sz w:val="32"/>
          <w:szCs w:val="32"/>
          <w:highlight w:val="none"/>
        </w:rPr>
        <w:t>5 年指标表</w:t>
      </w:r>
    </w:p>
    <w:tbl>
      <w:tblPr>
        <w:tblStyle w:val="9"/>
        <w:tblW w:w="81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2"/>
        <w:gridCol w:w="3153"/>
        <w:gridCol w:w="3210"/>
      </w:tblGrid>
      <w:tr w14:paraId="07CA1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2" w:type="dxa"/>
            <w:vAlign w:val="center"/>
          </w:tcPr>
          <w:p w14:paraId="5A4B96C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lang w:eastAsia="zh-CN"/>
              </w:rPr>
            </w:pPr>
            <w:r>
              <w:rPr>
                <w:rFonts w:hint="eastAsia" w:ascii="黑体" w:hAnsi="黑体" w:eastAsia="黑体" w:cs="黑体"/>
                <w:b w:val="0"/>
                <w:bCs/>
                <w:color w:val="000000"/>
                <w:sz w:val="24"/>
                <w:szCs w:val="24"/>
                <w:highlight w:val="none"/>
                <w:vertAlign w:val="baseline"/>
                <w:lang w:eastAsia="zh-CN"/>
              </w:rPr>
              <w:t>类别</w:t>
            </w:r>
          </w:p>
        </w:tc>
        <w:tc>
          <w:tcPr>
            <w:tcW w:w="3153" w:type="dxa"/>
            <w:vAlign w:val="center"/>
          </w:tcPr>
          <w:p w14:paraId="6B92CF4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lang w:val="en-US" w:eastAsia="zh-CN"/>
              </w:rPr>
            </w:pPr>
            <w:r>
              <w:rPr>
                <w:rFonts w:hint="eastAsia" w:ascii="黑体" w:hAnsi="黑体" w:eastAsia="黑体" w:cs="黑体"/>
                <w:b w:val="0"/>
                <w:bCs/>
                <w:color w:val="000000"/>
                <w:sz w:val="24"/>
                <w:szCs w:val="24"/>
                <w:highlight w:val="none"/>
                <w:vertAlign w:val="baseline"/>
                <w:lang w:eastAsia="zh-CN"/>
              </w:rPr>
              <w:t>近期综合利用率（</w:t>
            </w:r>
            <w:r>
              <w:rPr>
                <w:rFonts w:hint="eastAsia" w:ascii="黑体" w:hAnsi="黑体" w:eastAsia="黑体" w:cs="黑体"/>
                <w:b w:val="0"/>
                <w:bCs/>
                <w:color w:val="000000"/>
                <w:sz w:val="24"/>
                <w:szCs w:val="24"/>
                <w:highlight w:val="none"/>
                <w:vertAlign w:val="baseline"/>
                <w:lang w:val="en-US" w:eastAsia="zh-CN"/>
              </w:rPr>
              <w:t>%）</w:t>
            </w:r>
          </w:p>
        </w:tc>
        <w:tc>
          <w:tcPr>
            <w:tcW w:w="3210" w:type="dxa"/>
            <w:vAlign w:val="center"/>
          </w:tcPr>
          <w:p w14:paraId="119D793E">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lang w:val="en-US" w:eastAsia="zh-CN"/>
              </w:rPr>
            </w:pPr>
            <w:r>
              <w:rPr>
                <w:rFonts w:hint="eastAsia" w:ascii="黑体" w:hAnsi="黑体" w:eastAsia="黑体" w:cs="黑体"/>
                <w:b w:val="0"/>
                <w:bCs/>
                <w:color w:val="000000"/>
                <w:sz w:val="24"/>
                <w:szCs w:val="24"/>
                <w:highlight w:val="none"/>
                <w:vertAlign w:val="baseline"/>
                <w:lang w:eastAsia="zh-CN"/>
              </w:rPr>
              <w:t>远期综合利用率（</w:t>
            </w:r>
            <w:r>
              <w:rPr>
                <w:rFonts w:hint="eastAsia" w:ascii="黑体" w:hAnsi="黑体" w:eastAsia="黑体" w:cs="黑体"/>
                <w:b w:val="0"/>
                <w:bCs/>
                <w:color w:val="000000"/>
                <w:sz w:val="24"/>
                <w:szCs w:val="24"/>
                <w:highlight w:val="none"/>
                <w:vertAlign w:val="baseline"/>
                <w:lang w:val="en-US" w:eastAsia="zh-CN"/>
              </w:rPr>
              <w:t>%）</w:t>
            </w:r>
          </w:p>
        </w:tc>
      </w:tr>
      <w:tr w14:paraId="4239F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2" w:type="dxa"/>
            <w:vAlign w:val="center"/>
          </w:tcPr>
          <w:p w14:paraId="2FC4A0D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rPr>
            </w:pPr>
            <w:r>
              <w:rPr>
                <w:rFonts w:hint="eastAsia" w:ascii="黑体" w:hAnsi="黑体" w:eastAsia="黑体" w:cs="黑体"/>
                <w:b w:val="0"/>
                <w:bCs/>
                <w:color w:val="000000"/>
                <w:sz w:val="24"/>
                <w:szCs w:val="24"/>
                <w:highlight w:val="none"/>
              </w:rPr>
              <w:t>工程渣土</w:t>
            </w:r>
          </w:p>
        </w:tc>
        <w:tc>
          <w:tcPr>
            <w:tcW w:w="3153" w:type="dxa"/>
            <w:vAlign w:val="center"/>
          </w:tcPr>
          <w:p w14:paraId="6CA3E4C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lang w:val="en-US" w:eastAsia="zh-CN"/>
              </w:rPr>
            </w:pPr>
            <w:r>
              <w:rPr>
                <w:rFonts w:hint="eastAsia" w:ascii="黑体" w:hAnsi="黑体" w:eastAsia="黑体" w:cs="黑体"/>
                <w:b w:val="0"/>
                <w:bCs/>
                <w:color w:val="000000"/>
                <w:sz w:val="24"/>
                <w:szCs w:val="24"/>
                <w:highlight w:val="none"/>
                <w:vertAlign w:val="baseline"/>
                <w:lang w:val="en-US" w:eastAsia="zh-CN"/>
              </w:rPr>
              <w:t>80%</w:t>
            </w:r>
          </w:p>
        </w:tc>
        <w:tc>
          <w:tcPr>
            <w:tcW w:w="3210" w:type="dxa"/>
            <w:vAlign w:val="center"/>
          </w:tcPr>
          <w:p w14:paraId="4F3F10C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lang w:val="en-US" w:eastAsia="zh-CN"/>
              </w:rPr>
            </w:pPr>
            <w:r>
              <w:rPr>
                <w:rFonts w:hint="eastAsia" w:ascii="黑体" w:hAnsi="黑体" w:eastAsia="黑体" w:cs="黑体"/>
                <w:b w:val="0"/>
                <w:bCs/>
                <w:color w:val="000000"/>
                <w:sz w:val="24"/>
                <w:szCs w:val="24"/>
                <w:highlight w:val="none"/>
                <w:vertAlign w:val="baseline"/>
                <w:lang w:val="en-US" w:eastAsia="zh-CN"/>
              </w:rPr>
              <w:t>90%</w:t>
            </w:r>
          </w:p>
        </w:tc>
      </w:tr>
      <w:tr w14:paraId="45C5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2" w:type="dxa"/>
            <w:vAlign w:val="center"/>
          </w:tcPr>
          <w:p w14:paraId="15094E0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rPr>
            </w:pPr>
            <w:r>
              <w:rPr>
                <w:rFonts w:hint="eastAsia" w:ascii="黑体" w:hAnsi="黑体" w:eastAsia="黑体" w:cs="黑体"/>
                <w:b w:val="0"/>
                <w:bCs/>
                <w:color w:val="000000"/>
                <w:sz w:val="24"/>
                <w:szCs w:val="24"/>
                <w:highlight w:val="none"/>
              </w:rPr>
              <w:t>工程泥浆</w:t>
            </w:r>
          </w:p>
        </w:tc>
        <w:tc>
          <w:tcPr>
            <w:tcW w:w="3153" w:type="dxa"/>
            <w:vAlign w:val="center"/>
          </w:tcPr>
          <w:p w14:paraId="0B089ED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lang w:val="en-US" w:eastAsia="zh-CN"/>
              </w:rPr>
            </w:pPr>
            <w:r>
              <w:rPr>
                <w:rFonts w:hint="eastAsia" w:ascii="黑体" w:hAnsi="黑体" w:eastAsia="黑体" w:cs="黑体"/>
                <w:b w:val="0"/>
                <w:bCs/>
                <w:color w:val="000000"/>
                <w:sz w:val="24"/>
                <w:szCs w:val="24"/>
                <w:highlight w:val="none"/>
                <w:vertAlign w:val="baseline"/>
                <w:lang w:val="en-US" w:eastAsia="zh-CN"/>
              </w:rPr>
              <w:t>80%</w:t>
            </w:r>
          </w:p>
        </w:tc>
        <w:tc>
          <w:tcPr>
            <w:tcW w:w="3210" w:type="dxa"/>
            <w:vAlign w:val="center"/>
          </w:tcPr>
          <w:p w14:paraId="0A819FD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lang w:val="en-US" w:eastAsia="zh-CN"/>
              </w:rPr>
            </w:pPr>
            <w:r>
              <w:rPr>
                <w:rFonts w:hint="eastAsia" w:ascii="黑体" w:hAnsi="黑体" w:eastAsia="黑体" w:cs="黑体"/>
                <w:b w:val="0"/>
                <w:bCs/>
                <w:color w:val="000000"/>
                <w:sz w:val="24"/>
                <w:szCs w:val="24"/>
                <w:highlight w:val="none"/>
                <w:vertAlign w:val="baseline"/>
                <w:lang w:val="en-US" w:eastAsia="zh-CN"/>
              </w:rPr>
              <w:t>90%</w:t>
            </w:r>
          </w:p>
        </w:tc>
      </w:tr>
      <w:tr w14:paraId="7293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2" w:type="dxa"/>
            <w:vAlign w:val="center"/>
          </w:tcPr>
          <w:p w14:paraId="7C24E93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rPr>
            </w:pPr>
            <w:r>
              <w:rPr>
                <w:rFonts w:hint="eastAsia" w:ascii="黑体" w:hAnsi="黑体" w:eastAsia="黑体" w:cs="黑体"/>
                <w:b w:val="0"/>
                <w:bCs/>
                <w:color w:val="000000"/>
                <w:sz w:val="24"/>
                <w:szCs w:val="24"/>
                <w:highlight w:val="none"/>
              </w:rPr>
              <w:t>工程垃圾</w:t>
            </w:r>
          </w:p>
        </w:tc>
        <w:tc>
          <w:tcPr>
            <w:tcW w:w="3153" w:type="dxa"/>
            <w:vAlign w:val="center"/>
          </w:tcPr>
          <w:p w14:paraId="3265710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lang w:val="en-US" w:eastAsia="zh-CN"/>
              </w:rPr>
            </w:pPr>
            <w:r>
              <w:rPr>
                <w:rFonts w:hint="eastAsia" w:ascii="黑体" w:hAnsi="黑体" w:eastAsia="黑体" w:cs="黑体"/>
                <w:b w:val="0"/>
                <w:bCs/>
                <w:color w:val="000000"/>
                <w:sz w:val="24"/>
                <w:szCs w:val="24"/>
                <w:highlight w:val="none"/>
                <w:vertAlign w:val="baseline"/>
                <w:lang w:val="en-US" w:eastAsia="zh-CN"/>
              </w:rPr>
              <w:t>80%</w:t>
            </w:r>
          </w:p>
        </w:tc>
        <w:tc>
          <w:tcPr>
            <w:tcW w:w="3210" w:type="dxa"/>
            <w:vAlign w:val="center"/>
          </w:tcPr>
          <w:p w14:paraId="64FCDFA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lang w:val="en-US" w:eastAsia="zh-CN"/>
              </w:rPr>
            </w:pPr>
            <w:r>
              <w:rPr>
                <w:rFonts w:hint="eastAsia" w:ascii="黑体" w:hAnsi="黑体" w:eastAsia="黑体" w:cs="黑体"/>
                <w:b w:val="0"/>
                <w:bCs/>
                <w:color w:val="000000"/>
                <w:sz w:val="24"/>
                <w:szCs w:val="24"/>
                <w:highlight w:val="none"/>
                <w:vertAlign w:val="baseline"/>
                <w:lang w:val="en-US" w:eastAsia="zh-CN"/>
              </w:rPr>
              <w:t>90%</w:t>
            </w:r>
          </w:p>
        </w:tc>
      </w:tr>
      <w:tr w14:paraId="61116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2" w:type="dxa"/>
            <w:vAlign w:val="center"/>
          </w:tcPr>
          <w:p w14:paraId="334EE26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rPr>
            </w:pPr>
            <w:r>
              <w:rPr>
                <w:rFonts w:hint="eastAsia" w:ascii="黑体" w:hAnsi="黑体" w:eastAsia="黑体" w:cs="黑体"/>
                <w:b w:val="0"/>
                <w:bCs/>
                <w:color w:val="000000"/>
                <w:sz w:val="24"/>
                <w:szCs w:val="24"/>
                <w:highlight w:val="none"/>
              </w:rPr>
              <w:t>拆</w:t>
            </w:r>
            <w:r>
              <w:rPr>
                <w:rFonts w:hint="eastAsia" w:ascii="黑体" w:hAnsi="黑体" w:eastAsia="黑体" w:cs="黑体"/>
                <w:b w:val="0"/>
                <w:bCs/>
                <w:color w:val="000000"/>
                <w:sz w:val="24"/>
                <w:szCs w:val="24"/>
                <w:highlight w:val="none"/>
                <w:lang w:eastAsia="zh-CN"/>
              </w:rPr>
              <w:t>除</w:t>
            </w:r>
            <w:r>
              <w:rPr>
                <w:rFonts w:hint="eastAsia" w:ascii="黑体" w:hAnsi="黑体" w:eastAsia="黑体" w:cs="黑体"/>
                <w:b w:val="0"/>
                <w:bCs/>
                <w:color w:val="000000"/>
                <w:sz w:val="24"/>
                <w:szCs w:val="24"/>
                <w:highlight w:val="none"/>
              </w:rPr>
              <w:t>垃圾</w:t>
            </w:r>
          </w:p>
        </w:tc>
        <w:tc>
          <w:tcPr>
            <w:tcW w:w="3153" w:type="dxa"/>
            <w:vAlign w:val="center"/>
          </w:tcPr>
          <w:p w14:paraId="4A1A18D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lang w:val="en-US" w:eastAsia="zh-CN"/>
              </w:rPr>
            </w:pPr>
            <w:r>
              <w:rPr>
                <w:rFonts w:hint="eastAsia" w:ascii="黑体" w:hAnsi="黑体" w:eastAsia="黑体" w:cs="黑体"/>
                <w:b w:val="0"/>
                <w:bCs/>
                <w:color w:val="000000"/>
                <w:sz w:val="24"/>
                <w:szCs w:val="24"/>
                <w:highlight w:val="none"/>
                <w:vertAlign w:val="baseline"/>
                <w:lang w:val="en-US" w:eastAsia="zh-CN"/>
              </w:rPr>
              <w:t>80%</w:t>
            </w:r>
          </w:p>
        </w:tc>
        <w:tc>
          <w:tcPr>
            <w:tcW w:w="3210" w:type="dxa"/>
            <w:vAlign w:val="center"/>
          </w:tcPr>
          <w:p w14:paraId="66DA075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lang w:val="en-US" w:eastAsia="zh-CN"/>
              </w:rPr>
            </w:pPr>
            <w:r>
              <w:rPr>
                <w:rFonts w:hint="eastAsia" w:ascii="黑体" w:hAnsi="黑体" w:eastAsia="黑体" w:cs="黑体"/>
                <w:b w:val="0"/>
                <w:bCs/>
                <w:color w:val="000000"/>
                <w:sz w:val="24"/>
                <w:szCs w:val="24"/>
                <w:highlight w:val="none"/>
                <w:vertAlign w:val="baseline"/>
                <w:lang w:val="en-US" w:eastAsia="zh-CN"/>
              </w:rPr>
              <w:t>90%</w:t>
            </w:r>
          </w:p>
        </w:tc>
      </w:tr>
      <w:tr w14:paraId="0A0D5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2" w:type="dxa"/>
            <w:vAlign w:val="center"/>
          </w:tcPr>
          <w:p w14:paraId="53AB5B4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rPr>
            </w:pPr>
            <w:r>
              <w:rPr>
                <w:rFonts w:hint="eastAsia" w:ascii="黑体" w:hAnsi="黑体" w:eastAsia="黑体" w:cs="黑体"/>
                <w:b w:val="0"/>
                <w:bCs/>
                <w:color w:val="000000"/>
                <w:sz w:val="24"/>
                <w:szCs w:val="24"/>
                <w:highlight w:val="none"/>
              </w:rPr>
              <w:t>装修垃圾</w:t>
            </w:r>
          </w:p>
        </w:tc>
        <w:tc>
          <w:tcPr>
            <w:tcW w:w="3153" w:type="dxa"/>
            <w:vAlign w:val="center"/>
          </w:tcPr>
          <w:p w14:paraId="2E102FC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lang w:val="en-US" w:eastAsia="zh-CN"/>
              </w:rPr>
            </w:pPr>
            <w:r>
              <w:rPr>
                <w:rFonts w:hint="eastAsia" w:ascii="黑体" w:hAnsi="黑体" w:eastAsia="黑体" w:cs="黑体"/>
                <w:b w:val="0"/>
                <w:bCs/>
                <w:color w:val="000000"/>
                <w:sz w:val="24"/>
                <w:szCs w:val="24"/>
                <w:highlight w:val="none"/>
                <w:vertAlign w:val="baseline"/>
                <w:lang w:val="en-US" w:eastAsia="zh-CN"/>
              </w:rPr>
              <w:t>30%</w:t>
            </w:r>
          </w:p>
        </w:tc>
        <w:tc>
          <w:tcPr>
            <w:tcW w:w="3210" w:type="dxa"/>
            <w:vAlign w:val="center"/>
          </w:tcPr>
          <w:p w14:paraId="19D1419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lang w:val="en-US" w:eastAsia="zh-CN"/>
              </w:rPr>
            </w:pPr>
            <w:r>
              <w:rPr>
                <w:rFonts w:hint="eastAsia" w:ascii="黑体" w:hAnsi="黑体" w:eastAsia="黑体" w:cs="黑体"/>
                <w:b w:val="0"/>
                <w:bCs/>
                <w:color w:val="000000"/>
                <w:sz w:val="24"/>
                <w:szCs w:val="24"/>
                <w:highlight w:val="none"/>
                <w:vertAlign w:val="baseline"/>
                <w:lang w:val="en-US" w:eastAsia="zh-CN"/>
              </w:rPr>
              <w:t>40%</w:t>
            </w:r>
          </w:p>
        </w:tc>
      </w:tr>
      <w:tr w14:paraId="533E8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12" w:type="dxa"/>
            <w:vAlign w:val="center"/>
          </w:tcPr>
          <w:p w14:paraId="6DECE79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lang w:eastAsia="zh-CN"/>
              </w:rPr>
            </w:pPr>
            <w:r>
              <w:rPr>
                <w:rFonts w:hint="eastAsia" w:ascii="黑体" w:hAnsi="黑体" w:eastAsia="黑体" w:cs="黑体"/>
                <w:b w:val="0"/>
                <w:bCs/>
                <w:color w:val="000000"/>
                <w:sz w:val="24"/>
                <w:szCs w:val="24"/>
                <w:highlight w:val="none"/>
                <w:vertAlign w:val="baseline"/>
                <w:lang w:eastAsia="zh-CN"/>
              </w:rPr>
              <w:t>合计</w:t>
            </w:r>
          </w:p>
        </w:tc>
        <w:tc>
          <w:tcPr>
            <w:tcW w:w="3153" w:type="dxa"/>
            <w:vAlign w:val="center"/>
          </w:tcPr>
          <w:p w14:paraId="754BE9A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lang w:val="en-US" w:eastAsia="zh-CN"/>
              </w:rPr>
            </w:pPr>
            <w:r>
              <w:rPr>
                <w:rFonts w:hint="eastAsia" w:ascii="黑体" w:hAnsi="黑体" w:eastAsia="黑体" w:cs="黑体"/>
                <w:b w:val="0"/>
                <w:bCs/>
                <w:color w:val="000000"/>
                <w:sz w:val="24"/>
                <w:szCs w:val="24"/>
                <w:highlight w:val="none"/>
                <w:vertAlign w:val="baseline"/>
                <w:lang w:val="en-US" w:eastAsia="zh-CN"/>
              </w:rPr>
              <w:t>70%</w:t>
            </w:r>
          </w:p>
        </w:tc>
        <w:tc>
          <w:tcPr>
            <w:tcW w:w="3210" w:type="dxa"/>
            <w:vAlign w:val="center"/>
          </w:tcPr>
          <w:p w14:paraId="3E4C957C">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黑体" w:hAnsi="黑体" w:eastAsia="黑体" w:cs="黑体"/>
                <w:b w:val="0"/>
                <w:bCs/>
                <w:color w:val="000000"/>
                <w:sz w:val="24"/>
                <w:szCs w:val="24"/>
                <w:highlight w:val="none"/>
                <w:vertAlign w:val="baseline"/>
                <w:lang w:val="en-US" w:eastAsia="zh-CN"/>
              </w:rPr>
            </w:pPr>
            <w:r>
              <w:rPr>
                <w:rFonts w:hint="eastAsia" w:ascii="黑体" w:hAnsi="黑体" w:eastAsia="黑体" w:cs="黑体"/>
                <w:b w:val="0"/>
                <w:bCs/>
                <w:color w:val="000000"/>
                <w:sz w:val="24"/>
                <w:szCs w:val="24"/>
                <w:highlight w:val="none"/>
                <w:vertAlign w:val="baseline"/>
                <w:lang w:val="en-US" w:eastAsia="zh-CN"/>
              </w:rPr>
              <w:t>80%</w:t>
            </w:r>
          </w:p>
        </w:tc>
      </w:tr>
    </w:tbl>
    <w:p w14:paraId="3E9487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color w:val="000000"/>
          <w:sz w:val="32"/>
          <w:szCs w:val="32"/>
          <w:highlight w:val="yellow"/>
        </w:rPr>
      </w:pPr>
    </w:p>
    <w:p w14:paraId="6AB05ADC">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pPr>
      <w:r>
        <w:rPr>
          <w:rFonts w:hint="eastAsia" w:ascii="黑体" w:hAnsi="宋体" w:eastAsia="黑体" w:cs="黑体"/>
          <w:b w:val="0"/>
          <w:color w:val="000000"/>
          <w:sz w:val="32"/>
          <w:szCs w:val="32"/>
          <w:lang w:eastAsia="zh-CN"/>
        </w:rPr>
        <w:t>第三章</w:t>
      </w:r>
      <w:r>
        <w:rPr>
          <w:rFonts w:hint="eastAsia" w:ascii="黑体" w:hAnsi="宋体" w:eastAsia="黑体" w:cs="黑体"/>
          <w:b w:val="0"/>
          <w:color w:val="000000"/>
          <w:sz w:val="32"/>
          <w:szCs w:val="32"/>
          <w:lang w:val="en-US" w:eastAsia="zh-CN"/>
        </w:rPr>
        <w:t xml:space="preserve"> </w:t>
      </w:r>
      <w:r>
        <w:rPr>
          <w:rFonts w:ascii="黑体" w:hAnsi="宋体" w:eastAsia="黑体" w:cs="黑体"/>
          <w:b w:val="0"/>
          <w:color w:val="000000"/>
          <w:sz w:val="32"/>
          <w:szCs w:val="32"/>
        </w:rPr>
        <w:t>建筑垃圾产生量预测</w:t>
      </w:r>
    </w:p>
    <w:p w14:paraId="22E46E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ascii="黑体" w:hAnsi="宋体" w:eastAsia="黑体" w:cs="黑体"/>
          <w:b w:val="0"/>
          <w:color w:val="000000"/>
          <w:sz w:val="32"/>
          <w:szCs w:val="32"/>
        </w:rPr>
        <w:t>第</w:t>
      </w:r>
      <w:r>
        <w:rPr>
          <w:rFonts w:hint="eastAsia" w:ascii="黑体" w:hAnsi="宋体" w:eastAsia="黑体" w:cs="黑体"/>
          <w:b w:val="0"/>
          <w:color w:val="000000"/>
          <w:sz w:val="32"/>
          <w:szCs w:val="32"/>
          <w:lang w:eastAsia="zh-CN"/>
        </w:rPr>
        <w:t>九</w:t>
      </w:r>
      <w:r>
        <w:rPr>
          <w:rFonts w:ascii="黑体" w:hAnsi="宋体" w:eastAsia="黑体" w:cs="黑体"/>
          <w:b w:val="0"/>
          <w:color w:val="000000"/>
          <w:sz w:val="32"/>
          <w:szCs w:val="32"/>
        </w:rPr>
        <w:t>条 产生量</w:t>
      </w:r>
      <w:r>
        <w:rPr>
          <w:rFonts w:hint="eastAsia" w:ascii="黑体" w:hAnsi="宋体" w:eastAsia="黑体" w:cs="黑体"/>
          <w:b w:val="0"/>
          <w:color w:val="000000"/>
          <w:sz w:val="32"/>
          <w:szCs w:val="32"/>
          <w:lang w:val="en-US" w:eastAsia="zh-CN"/>
        </w:rPr>
        <w:t xml:space="preserve"> </w:t>
      </w:r>
      <w:r>
        <w:rPr>
          <w:rFonts w:hint="eastAsia" w:ascii="仿宋_GB2312" w:hAnsi="仿宋_GB2312" w:eastAsia="仿宋_GB2312" w:cs="仿宋_GB2312"/>
          <w:b w:val="0"/>
          <w:bCs w:val="0"/>
          <w:snapToGrid w:val="0"/>
          <w:color w:val="000000"/>
          <w:kern w:val="2"/>
          <w:sz w:val="32"/>
          <w:szCs w:val="32"/>
          <w:highlight w:val="none"/>
          <w:lang w:val="en-US" w:eastAsia="zh-CN" w:bidi="ar-SA"/>
        </w:rPr>
        <w:t>按照建筑垃圾的分类，本规划主要预测新建建筑施工渣土、</w:t>
      </w:r>
      <w:r>
        <w:rPr>
          <w:rFonts w:hint="eastAsia" w:ascii="仿宋_GB2312" w:hAnsi="仿宋_GB2312" w:eastAsia="仿宋_GB2312" w:cs="仿宋_GB2312"/>
          <w:b w:val="0"/>
          <w:color w:val="000000"/>
          <w:sz w:val="32"/>
          <w:szCs w:val="32"/>
          <w:highlight w:val="none"/>
        </w:rPr>
        <w:t>工程泥浆</w:t>
      </w:r>
      <w:r>
        <w:rPr>
          <w:rFonts w:hint="eastAsia" w:ascii="仿宋_GB2312" w:hAnsi="仿宋_GB2312" w:eastAsia="仿宋_GB2312" w:cs="仿宋_GB2312"/>
          <w:b w:val="0"/>
          <w:bCs w:val="0"/>
          <w:snapToGrid w:val="0"/>
          <w:color w:val="000000"/>
          <w:kern w:val="2"/>
          <w:sz w:val="32"/>
          <w:szCs w:val="32"/>
          <w:highlight w:val="none"/>
          <w:lang w:val="en-US" w:eastAsia="zh-CN" w:bidi="ar-SA"/>
        </w:rPr>
        <w:t>、</w:t>
      </w:r>
      <w:r>
        <w:rPr>
          <w:rFonts w:hint="eastAsia" w:ascii="仿宋_GB2312" w:hAnsi="仿宋_GB2312" w:eastAsia="仿宋_GB2312" w:cs="仿宋_GB2312"/>
          <w:b w:val="0"/>
          <w:color w:val="000000"/>
          <w:sz w:val="32"/>
          <w:szCs w:val="32"/>
          <w:highlight w:val="none"/>
        </w:rPr>
        <w:t>工程垃圾</w:t>
      </w:r>
      <w:r>
        <w:rPr>
          <w:rFonts w:hint="eastAsia" w:ascii="仿宋_GB2312" w:hAnsi="仿宋_GB2312" w:eastAsia="仿宋_GB2312" w:cs="仿宋_GB2312"/>
          <w:b w:val="0"/>
          <w:color w:val="000000"/>
          <w:sz w:val="32"/>
          <w:szCs w:val="32"/>
          <w:highlight w:val="none"/>
          <w:lang w:eastAsia="zh-CN"/>
        </w:rPr>
        <w:t>、</w:t>
      </w:r>
      <w:r>
        <w:rPr>
          <w:rFonts w:hint="eastAsia" w:ascii="仿宋_GB2312" w:hAnsi="仿宋_GB2312" w:eastAsia="仿宋_GB2312" w:cs="仿宋_GB2312"/>
          <w:b w:val="0"/>
          <w:bCs w:val="0"/>
          <w:snapToGrid w:val="0"/>
          <w:color w:val="000000"/>
          <w:kern w:val="2"/>
          <w:sz w:val="32"/>
          <w:szCs w:val="32"/>
          <w:highlight w:val="none"/>
          <w:lang w:val="en-US" w:eastAsia="zh-CN" w:bidi="ar-SA"/>
        </w:rPr>
        <w:t>拆除垃圾和装修垃圾的量。建筑垃圾产生量主要有三种预测方法：一是按照新建建筑面积进行预测；二是按照建筑垃圾产量历年统计数据进行预测；三是采用弹性系数法来构建建筑垃圾的产量估算。历年建筑垃圾产量浮动较大，因此本规划选择新建建筑面积作为建筑垃圾产生的主要控制因素进行预测。根据相关资料，规划取1万平方米的建筑面积产生550吨建筑垃圾。拆除垃圾按照新建建筑施工垃圾量 1:1 进行估算。装修垃圾主要产生于城镇化区域，其产生量与城市规模、装潢频次直接相关，按照居民生活习惯，通常每10-15年装潢一次，规划按照每户15年装潢一次；装修垃圾量产生量指标通常为6-8吨/户/次，规划按照6吨/户/次计算。规划预测2025 年、2035年装修垃圾分别为27万吨/年、39万吨/年。</w:t>
      </w:r>
    </w:p>
    <w:p w14:paraId="7AAB343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color w:val="000000"/>
          <w:sz w:val="32"/>
          <w:szCs w:val="32"/>
          <w:highlight w:val="none"/>
          <w:lang w:val="en-US" w:eastAsia="zh-CN"/>
        </w:rPr>
      </w:pPr>
      <w:r>
        <w:rPr>
          <w:rFonts w:hint="eastAsia" w:ascii="黑体" w:hAnsi="黑体" w:eastAsia="黑体" w:cs="黑体"/>
          <w:b w:val="0"/>
          <w:bCs/>
          <w:color w:val="000000"/>
          <w:sz w:val="32"/>
          <w:szCs w:val="32"/>
          <w:highlight w:val="none"/>
        </w:rPr>
        <w:t xml:space="preserve">表 </w:t>
      </w:r>
      <w:r>
        <w:rPr>
          <w:rFonts w:hint="eastAsia" w:ascii="黑体" w:hAnsi="黑体" w:eastAsia="黑体" w:cs="黑体"/>
          <w:b w:val="0"/>
          <w:bCs/>
          <w:color w:val="000000"/>
          <w:sz w:val="32"/>
          <w:szCs w:val="32"/>
          <w:highlight w:val="none"/>
          <w:lang w:val="en-US" w:eastAsia="zh-CN"/>
        </w:rPr>
        <w:t>2</w:t>
      </w:r>
      <w:r>
        <w:rPr>
          <w:rFonts w:hint="eastAsia" w:ascii="黑体" w:hAnsi="黑体" w:eastAsia="黑体" w:cs="黑体"/>
          <w:b w:val="0"/>
          <w:bCs/>
          <w:color w:val="000000"/>
          <w:sz w:val="32"/>
          <w:szCs w:val="32"/>
          <w:highlight w:val="none"/>
        </w:rPr>
        <w:t xml:space="preserve"> 威海市建筑垃圾处置量预测表</w:t>
      </w:r>
    </w:p>
    <w:tbl>
      <w:tblPr>
        <w:tblStyle w:val="9"/>
        <w:tblpPr w:leftFromText="180" w:rightFromText="180" w:vertAnchor="text" w:horzAnchor="page" w:tblpX="1617" w:tblpY="121"/>
        <w:tblOverlap w:val="never"/>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5"/>
        <w:gridCol w:w="3165"/>
        <w:gridCol w:w="2175"/>
        <w:gridCol w:w="1866"/>
      </w:tblGrid>
      <w:tr w14:paraId="4DAD1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5" w:type="dxa"/>
          </w:tcPr>
          <w:p w14:paraId="277B823C">
            <w:pPr>
              <w:keepNext w:val="0"/>
              <w:keepLines w:val="0"/>
              <w:pageBreakBefore w:val="0"/>
              <w:widowControl w:val="0"/>
              <w:numPr>
                <w:ilvl w:val="0"/>
                <w:numId w:val="0"/>
              </w:numPr>
              <w:kinsoku/>
              <w:wordWrap/>
              <w:overflowPunct/>
              <w:topLinePunct w:val="0"/>
              <w:autoSpaceDE/>
              <w:autoSpaceDN/>
              <w:bidi w:val="0"/>
              <w:adjustRightInd/>
              <w:snapToGrid/>
              <w:spacing w:line="500" w:lineRule="atLeast"/>
              <w:jc w:val="center"/>
              <w:textAlignment w:val="auto"/>
              <w:rPr>
                <w:rFonts w:hint="eastAsia" w:ascii="黑体" w:hAnsi="黑体" w:eastAsia="黑体" w:cs="黑体"/>
                <w:b w:val="0"/>
                <w:bCs/>
                <w:color w:val="000000"/>
                <w:sz w:val="24"/>
                <w:szCs w:val="24"/>
                <w:highlight w:val="none"/>
                <w:vertAlign w:val="baseline"/>
                <w:lang w:eastAsia="zh-CN"/>
              </w:rPr>
            </w:pPr>
            <w:r>
              <w:rPr>
                <w:rFonts w:hint="eastAsia" w:ascii="黑体" w:hAnsi="黑体" w:eastAsia="黑体" w:cs="黑体"/>
                <w:b w:val="0"/>
                <w:bCs/>
                <w:color w:val="000000"/>
                <w:sz w:val="24"/>
                <w:szCs w:val="24"/>
                <w:highlight w:val="none"/>
                <w:vertAlign w:val="baseline"/>
                <w:lang w:eastAsia="zh-CN"/>
              </w:rPr>
              <w:t xml:space="preserve"> 规划期限\种类</w:t>
            </w:r>
          </w:p>
        </w:tc>
        <w:tc>
          <w:tcPr>
            <w:tcW w:w="3165" w:type="dxa"/>
          </w:tcPr>
          <w:p w14:paraId="30EB9392">
            <w:pPr>
              <w:keepNext w:val="0"/>
              <w:keepLines w:val="0"/>
              <w:pageBreakBefore w:val="0"/>
              <w:widowControl w:val="0"/>
              <w:numPr>
                <w:ilvl w:val="0"/>
                <w:numId w:val="0"/>
              </w:numPr>
              <w:kinsoku/>
              <w:wordWrap/>
              <w:overflowPunct/>
              <w:topLinePunct w:val="0"/>
              <w:autoSpaceDE/>
              <w:autoSpaceDN/>
              <w:bidi w:val="0"/>
              <w:adjustRightInd/>
              <w:snapToGrid/>
              <w:spacing w:line="500" w:lineRule="atLeast"/>
              <w:jc w:val="center"/>
              <w:textAlignment w:val="auto"/>
              <w:rPr>
                <w:rFonts w:hint="eastAsia" w:ascii="黑体" w:hAnsi="黑体" w:eastAsia="黑体" w:cs="黑体"/>
                <w:b w:val="0"/>
                <w:bCs/>
                <w:color w:val="000000"/>
                <w:sz w:val="24"/>
                <w:szCs w:val="24"/>
                <w:highlight w:val="none"/>
                <w:vertAlign w:val="baseline"/>
                <w:lang w:eastAsia="zh-CN"/>
              </w:rPr>
            </w:pPr>
            <w:r>
              <w:rPr>
                <w:rFonts w:hint="eastAsia" w:ascii="黑体" w:hAnsi="黑体" w:eastAsia="黑体" w:cs="黑体"/>
                <w:b w:val="0"/>
                <w:bCs/>
                <w:color w:val="000000"/>
                <w:sz w:val="24"/>
                <w:szCs w:val="24"/>
                <w:highlight w:val="none"/>
              </w:rPr>
              <w:t>工程泥浆</w:t>
            </w:r>
            <w:r>
              <w:rPr>
                <w:rFonts w:hint="eastAsia" w:ascii="黑体" w:hAnsi="黑体" w:eastAsia="黑体" w:cs="黑体"/>
                <w:b w:val="0"/>
                <w:bCs/>
                <w:snapToGrid w:val="0"/>
                <w:color w:val="000000"/>
                <w:kern w:val="2"/>
                <w:sz w:val="24"/>
                <w:szCs w:val="24"/>
                <w:highlight w:val="none"/>
                <w:lang w:val="en-US" w:eastAsia="zh-CN" w:bidi="ar-SA"/>
              </w:rPr>
              <w:t>、</w:t>
            </w:r>
            <w:r>
              <w:rPr>
                <w:rFonts w:hint="eastAsia" w:ascii="黑体" w:hAnsi="黑体" w:eastAsia="黑体" w:cs="黑体"/>
                <w:b w:val="0"/>
                <w:bCs/>
                <w:color w:val="000000"/>
                <w:sz w:val="24"/>
                <w:szCs w:val="24"/>
                <w:highlight w:val="none"/>
              </w:rPr>
              <w:t>工程垃圾</w:t>
            </w:r>
            <w:r>
              <w:rPr>
                <w:rFonts w:hint="eastAsia" w:ascii="黑体" w:hAnsi="黑体" w:eastAsia="黑体" w:cs="黑体"/>
                <w:b w:val="0"/>
                <w:bCs/>
                <w:color w:val="000000"/>
                <w:sz w:val="24"/>
                <w:szCs w:val="24"/>
                <w:highlight w:val="none"/>
                <w:vertAlign w:val="baseline"/>
                <w:lang w:eastAsia="zh-CN"/>
              </w:rPr>
              <w:t>（吨/年）</w:t>
            </w:r>
          </w:p>
        </w:tc>
        <w:tc>
          <w:tcPr>
            <w:tcW w:w="2175" w:type="dxa"/>
          </w:tcPr>
          <w:p w14:paraId="5FC9A7EA">
            <w:pPr>
              <w:keepNext w:val="0"/>
              <w:keepLines w:val="0"/>
              <w:pageBreakBefore w:val="0"/>
              <w:widowControl w:val="0"/>
              <w:numPr>
                <w:ilvl w:val="0"/>
                <w:numId w:val="0"/>
              </w:numPr>
              <w:kinsoku/>
              <w:wordWrap/>
              <w:overflowPunct/>
              <w:topLinePunct w:val="0"/>
              <w:autoSpaceDE/>
              <w:autoSpaceDN/>
              <w:bidi w:val="0"/>
              <w:adjustRightInd/>
              <w:snapToGrid/>
              <w:spacing w:line="500" w:lineRule="atLeast"/>
              <w:jc w:val="center"/>
              <w:textAlignment w:val="auto"/>
              <w:rPr>
                <w:rFonts w:hint="eastAsia" w:ascii="黑体" w:hAnsi="黑体" w:eastAsia="黑体" w:cs="黑体"/>
                <w:b w:val="0"/>
                <w:bCs/>
                <w:color w:val="000000"/>
                <w:sz w:val="24"/>
                <w:szCs w:val="24"/>
                <w:highlight w:val="none"/>
                <w:vertAlign w:val="baseline"/>
                <w:lang w:eastAsia="zh-CN"/>
              </w:rPr>
            </w:pPr>
            <w:r>
              <w:rPr>
                <w:rFonts w:hint="eastAsia" w:ascii="黑体" w:hAnsi="黑体" w:eastAsia="黑体" w:cs="黑体"/>
                <w:b w:val="0"/>
                <w:bCs/>
                <w:color w:val="000000"/>
                <w:sz w:val="24"/>
                <w:szCs w:val="24"/>
                <w:highlight w:val="none"/>
                <w:vertAlign w:val="baseline"/>
                <w:lang w:eastAsia="zh-CN"/>
              </w:rPr>
              <w:t>拆除垃圾（吨/年）</w:t>
            </w:r>
          </w:p>
        </w:tc>
        <w:tc>
          <w:tcPr>
            <w:tcW w:w="1866" w:type="dxa"/>
          </w:tcPr>
          <w:p w14:paraId="7B85AAF7">
            <w:pPr>
              <w:keepNext w:val="0"/>
              <w:keepLines w:val="0"/>
              <w:pageBreakBefore w:val="0"/>
              <w:widowControl w:val="0"/>
              <w:numPr>
                <w:ilvl w:val="0"/>
                <w:numId w:val="0"/>
              </w:numPr>
              <w:kinsoku/>
              <w:wordWrap/>
              <w:overflowPunct/>
              <w:topLinePunct w:val="0"/>
              <w:autoSpaceDE/>
              <w:autoSpaceDN/>
              <w:bidi w:val="0"/>
              <w:adjustRightInd/>
              <w:snapToGrid/>
              <w:spacing w:line="500" w:lineRule="atLeast"/>
              <w:jc w:val="center"/>
              <w:textAlignment w:val="auto"/>
              <w:rPr>
                <w:rFonts w:hint="eastAsia" w:ascii="黑体" w:hAnsi="黑体" w:eastAsia="黑体" w:cs="黑体"/>
                <w:b w:val="0"/>
                <w:bCs/>
                <w:color w:val="000000"/>
                <w:sz w:val="24"/>
                <w:szCs w:val="24"/>
                <w:highlight w:val="none"/>
                <w:vertAlign w:val="baseline"/>
                <w:lang w:eastAsia="zh-CN"/>
              </w:rPr>
            </w:pPr>
            <w:r>
              <w:rPr>
                <w:rFonts w:hint="eastAsia" w:ascii="黑体" w:hAnsi="黑体" w:eastAsia="黑体" w:cs="黑体"/>
                <w:b w:val="0"/>
                <w:bCs/>
                <w:color w:val="000000"/>
                <w:sz w:val="24"/>
                <w:szCs w:val="24"/>
                <w:highlight w:val="none"/>
                <w:vertAlign w:val="baseline"/>
                <w:lang w:eastAsia="zh-CN"/>
              </w:rPr>
              <w:t xml:space="preserve"> 装修垃圾（吨/年）</w:t>
            </w:r>
          </w:p>
        </w:tc>
      </w:tr>
      <w:tr w14:paraId="6A62A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5" w:type="dxa"/>
          </w:tcPr>
          <w:p w14:paraId="1B4C5732">
            <w:pPr>
              <w:keepNext w:val="0"/>
              <w:keepLines w:val="0"/>
              <w:pageBreakBefore w:val="0"/>
              <w:widowControl w:val="0"/>
              <w:numPr>
                <w:ilvl w:val="0"/>
                <w:numId w:val="0"/>
              </w:numPr>
              <w:kinsoku/>
              <w:wordWrap/>
              <w:overflowPunct/>
              <w:topLinePunct w:val="0"/>
              <w:autoSpaceDE/>
              <w:autoSpaceDN/>
              <w:bidi w:val="0"/>
              <w:adjustRightInd/>
              <w:snapToGrid/>
              <w:spacing w:line="500" w:lineRule="atLeast"/>
              <w:jc w:val="center"/>
              <w:textAlignment w:val="auto"/>
              <w:rPr>
                <w:rFonts w:hint="eastAsia" w:ascii="黑体" w:hAnsi="黑体" w:eastAsia="黑体" w:cs="黑体"/>
                <w:b w:val="0"/>
                <w:bCs/>
                <w:color w:val="000000"/>
                <w:sz w:val="24"/>
                <w:szCs w:val="24"/>
                <w:highlight w:val="none"/>
                <w:vertAlign w:val="baseline"/>
                <w:lang w:eastAsia="zh-CN"/>
              </w:rPr>
            </w:pPr>
            <w:r>
              <w:rPr>
                <w:rFonts w:hint="eastAsia" w:ascii="黑体" w:hAnsi="黑体" w:eastAsia="黑体" w:cs="黑体"/>
                <w:b w:val="0"/>
                <w:bCs/>
                <w:color w:val="000000"/>
                <w:sz w:val="24"/>
                <w:szCs w:val="24"/>
                <w:highlight w:val="none"/>
                <w:vertAlign w:val="baseline"/>
                <w:lang w:eastAsia="zh-CN"/>
              </w:rPr>
              <w:t>2025 年</w:t>
            </w:r>
          </w:p>
        </w:tc>
        <w:tc>
          <w:tcPr>
            <w:tcW w:w="3165" w:type="dxa"/>
          </w:tcPr>
          <w:p w14:paraId="2496EB57">
            <w:pPr>
              <w:keepNext w:val="0"/>
              <w:keepLines w:val="0"/>
              <w:pageBreakBefore w:val="0"/>
              <w:widowControl w:val="0"/>
              <w:numPr>
                <w:ilvl w:val="0"/>
                <w:numId w:val="0"/>
              </w:numPr>
              <w:kinsoku/>
              <w:wordWrap/>
              <w:overflowPunct/>
              <w:topLinePunct w:val="0"/>
              <w:autoSpaceDE/>
              <w:autoSpaceDN/>
              <w:bidi w:val="0"/>
              <w:adjustRightInd/>
              <w:snapToGrid/>
              <w:spacing w:line="500" w:lineRule="atLeast"/>
              <w:jc w:val="center"/>
              <w:textAlignment w:val="auto"/>
              <w:rPr>
                <w:rFonts w:hint="eastAsia" w:ascii="黑体" w:hAnsi="黑体" w:eastAsia="黑体" w:cs="黑体"/>
                <w:b w:val="0"/>
                <w:bCs/>
                <w:color w:val="000000"/>
                <w:sz w:val="24"/>
                <w:szCs w:val="24"/>
                <w:highlight w:val="none"/>
                <w:vertAlign w:val="baseline"/>
                <w:lang w:eastAsia="zh-CN"/>
              </w:rPr>
            </w:pPr>
            <w:r>
              <w:rPr>
                <w:rFonts w:hint="eastAsia" w:ascii="黑体" w:hAnsi="黑体" w:eastAsia="黑体" w:cs="黑体"/>
                <w:b w:val="0"/>
                <w:bCs/>
                <w:color w:val="000000"/>
                <w:sz w:val="24"/>
                <w:szCs w:val="24"/>
                <w:highlight w:val="none"/>
                <w:vertAlign w:val="baseline"/>
                <w:lang w:eastAsia="zh-CN"/>
              </w:rPr>
              <w:t xml:space="preserve"> 40</w:t>
            </w:r>
          </w:p>
        </w:tc>
        <w:tc>
          <w:tcPr>
            <w:tcW w:w="2175" w:type="dxa"/>
          </w:tcPr>
          <w:p w14:paraId="021B6932">
            <w:pPr>
              <w:keepNext w:val="0"/>
              <w:keepLines w:val="0"/>
              <w:pageBreakBefore w:val="0"/>
              <w:widowControl w:val="0"/>
              <w:numPr>
                <w:ilvl w:val="0"/>
                <w:numId w:val="0"/>
              </w:numPr>
              <w:kinsoku/>
              <w:wordWrap/>
              <w:overflowPunct/>
              <w:topLinePunct w:val="0"/>
              <w:autoSpaceDE/>
              <w:autoSpaceDN/>
              <w:bidi w:val="0"/>
              <w:adjustRightInd/>
              <w:snapToGrid/>
              <w:spacing w:line="500" w:lineRule="atLeast"/>
              <w:jc w:val="center"/>
              <w:textAlignment w:val="auto"/>
              <w:rPr>
                <w:rFonts w:hint="eastAsia" w:ascii="黑体" w:hAnsi="黑体" w:eastAsia="黑体" w:cs="黑体"/>
                <w:b w:val="0"/>
                <w:bCs/>
                <w:color w:val="000000"/>
                <w:sz w:val="24"/>
                <w:szCs w:val="24"/>
                <w:highlight w:val="none"/>
                <w:vertAlign w:val="baseline"/>
                <w:lang w:eastAsia="zh-CN"/>
              </w:rPr>
            </w:pPr>
            <w:r>
              <w:rPr>
                <w:rFonts w:hint="eastAsia" w:ascii="黑体" w:hAnsi="黑体" w:eastAsia="黑体" w:cs="黑体"/>
                <w:b w:val="0"/>
                <w:bCs/>
                <w:color w:val="000000"/>
                <w:sz w:val="24"/>
                <w:szCs w:val="24"/>
                <w:highlight w:val="none"/>
                <w:vertAlign w:val="baseline"/>
                <w:lang w:eastAsia="zh-CN"/>
              </w:rPr>
              <w:t xml:space="preserve"> 40</w:t>
            </w:r>
          </w:p>
        </w:tc>
        <w:tc>
          <w:tcPr>
            <w:tcW w:w="1866" w:type="dxa"/>
          </w:tcPr>
          <w:p w14:paraId="3B0F230B">
            <w:pPr>
              <w:keepNext w:val="0"/>
              <w:keepLines w:val="0"/>
              <w:pageBreakBefore w:val="0"/>
              <w:widowControl w:val="0"/>
              <w:numPr>
                <w:ilvl w:val="0"/>
                <w:numId w:val="0"/>
              </w:numPr>
              <w:kinsoku/>
              <w:wordWrap/>
              <w:overflowPunct/>
              <w:topLinePunct w:val="0"/>
              <w:autoSpaceDE/>
              <w:autoSpaceDN/>
              <w:bidi w:val="0"/>
              <w:adjustRightInd/>
              <w:snapToGrid/>
              <w:spacing w:line="500" w:lineRule="atLeast"/>
              <w:jc w:val="center"/>
              <w:textAlignment w:val="auto"/>
              <w:rPr>
                <w:rFonts w:hint="eastAsia" w:ascii="黑体" w:hAnsi="黑体" w:eastAsia="黑体" w:cs="黑体"/>
                <w:b w:val="0"/>
                <w:bCs/>
                <w:color w:val="000000"/>
                <w:sz w:val="24"/>
                <w:szCs w:val="24"/>
                <w:highlight w:val="none"/>
                <w:vertAlign w:val="baseline"/>
                <w:lang w:eastAsia="zh-CN"/>
              </w:rPr>
            </w:pPr>
            <w:r>
              <w:rPr>
                <w:rFonts w:hint="eastAsia" w:ascii="黑体" w:hAnsi="黑体" w:eastAsia="黑体" w:cs="黑体"/>
                <w:b w:val="0"/>
                <w:bCs/>
                <w:color w:val="000000"/>
                <w:sz w:val="24"/>
                <w:szCs w:val="24"/>
                <w:highlight w:val="none"/>
                <w:vertAlign w:val="baseline"/>
                <w:lang w:eastAsia="zh-CN"/>
              </w:rPr>
              <w:t xml:space="preserve"> 27</w:t>
            </w:r>
          </w:p>
        </w:tc>
      </w:tr>
      <w:tr w14:paraId="15E30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5" w:type="dxa"/>
          </w:tcPr>
          <w:p w14:paraId="4A5F46F7">
            <w:pPr>
              <w:keepNext w:val="0"/>
              <w:keepLines w:val="0"/>
              <w:pageBreakBefore w:val="0"/>
              <w:widowControl w:val="0"/>
              <w:numPr>
                <w:ilvl w:val="0"/>
                <w:numId w:val="0"/>
              </w:numPr>
              <w:kinsoku/>
              <w:wordWrap/>
              <w:overflowPunct/>
              <w:topLinePunct w:val="0"/>
              <w:autoSpaceDE/>
              <w:autoSpaceDN/>
              <w:bidi w:val="0"/>
              <w:adjustRightInd/>
              <w:snapToGrid/>
              <w:spacing w:line="500" w:lineRule="atLeast"/>
              <w:jc w:val="center"/>
              <w:textAlignment w:val="auto"/>
              <w:rPr>
                <w:rFonts w:hint="eastAsia" w:ascii="黑体" w:hAnsi="黑体" w:eastAsia="黑体" w:cs="黑体"/>
                <w:b w:val="0"/>
                <w:bCs/>
                <w:color w:val="000000"/>
                <w:sz w:val="24"/>
                <w:szCs w:val="24"/>
                <w:highlight w:val="none"/>
                <w:vertAlign w:val="baseline"/>
                <w:lang w:eastAsia="zh-CN"/>
              </w:rPr>
            </w:pPr>
            <w:r>
              <w:rPr>
                <w:rFonts w:hint="eastAsia" w:ascii="黑体" w:hAnsi="黑体" w:eastAsia="黑体" w:cs="黑体"/>
                <w:b w:val="0"/>
                <w:bCs/>
                <w:color w:val="000000"/>
                <w:sz w:val="24"/>
                <w:szCs w:val="24"/>
                <w:highlight w:val="none"/>
                <w:vertAlign w:val="baseline"/>
                <w:lang w:eastAsia="zh-CN"/>
              </w:rPr>
              <w:t>2035 年</w:t>
            </w:r>
          </w:p>
        </w:tc>
        <w:tc>
          <w:tcPr>
            <w:tcW w:w="3165" w:type="dxa"/>
          </w:tcPr>
          <w:p w14:paraId="3D3AC9BA">
            <w:pPr>
              <w:keepNext w:val="0"/>
              <w:keepLines w:val="0"/>
              <w:pageBreakBefore w:val="0"/>
              <w:widowControl w:val="0"/>
              <w:numPr>
                <w:ilvl w:val="0"/>
                <w:numId w:val="0"/>
              </w:numPr>
              <w:kinsoku/>
              <w:wordWrap/>
              <w:overflowPunct/>
              <w:topLinePunct w:val="0"/>
              <w:autoSpaceDE/>
              <w:autoSpaceDN/>
              <w:bidi w:val="0"/>
              <w:adjustRightInd/>
              <w:snapToGrid/>
              <w:spacing w:line="500" w:lineRule="atLeast"/>
              <w:jc w:val="center"/>
              <w:textAlignment w:val="auto"/>
              <w:rPr>
                <w:rFonts w:hint="eastAsia" w:ascii="黑体" w:hAnsi="黑体" w:eastAsia="黑体" w:cs="黑体"/>
                <w:b w:val="0"/>
                <w:bCs/>
                <w:color w:val="000000"/>
                <w:sz w:val="24"/>
                <w:szCs w:val="24"/>
                <w:highlight w:val="none"/>
                <w:vertAlign w:val="baseline"/>
                <w:lang w:eastAsia="zh-CN"/>
              </w:rPr>
            </w:pPr>
            <w:r>
              <w:rPr>
                <w:rFonts w:hint="eastAsia" w:ascii="黑体" w:hAnsi="黑体" w:eastAsia="黑体" w:cs="黑体"/>
                <w:b w:val="0"/>
                <w:bCs/>
                <w:color w:val="000000"/>
                <w:sz w:val="24"/>
                <w:szCs w:val="24"/>
                <w:highlight w:val="none"/>
                <w:vertAlign w:val="baseline"/>
                <w:lang w:eastAsia="zh-CN"/>
              </w:rPr>
              <w:t>60</w:t>
            </w:r>
          </w:p>
        </w:tc>
        <w:tc>
          <w:tcPr>
            <w:tcW w:w="2175" w:type="dxa"/>
          </w:tcPr>
          <w:p w14:paraId="11CC6092">
            <w:pPr>
              <w:keepNext w:val="0"/>
              <w:keepLines w:val="0"/>
              <w:pageBreakBefore w:val="0"/>
              <w:widowControl w:val="0"/>
              <w:numPr>
                <w:ilvl w:val="0"/>
                <w:numId w:val="0"/>
              </w:numPr>
              <w:kinsoku/>
              <w:wordWrap/>
              <w:overflowPunct/>
              <w:topLinePunct w:val="0"/>
              <w:autoSpaceDE/>
              <w:autoSpaceDN/>
              <w:bidi w:val="0"/>
              <w:adjustRightInd/>
              <w:snapToGrid/>
              <w:spacing w:line="500" w:lineRule="atLeast"/>
              <w:jc w:val="center"/>
              <w:textAlignment w:val="auto"/>
              <w:rPr>
                <w:rFonts w:hint="eastAsia" w:ascii="黑体" w:hAnsi="黑体" w:eastAsia="黑体" w:cs="黑体"/>
                <w:b w:val="0"/>
                <w:bCs/>
                <w:color w:val="000000"/>
                <w:sz w:val="24"/>
                <w:szCs w:val="24"/>
                <w:highlight w:val="none"/>
                <w:vertAlign w:val="baseline"/>
                <w:lang w:eastAsia="zh-CN"/>
              </w:rPr>
            </w:pPr>
            <w:r>
              <w:rPr>
                <w:rFonts w:hint="eastAsia" w:ascii="黑体" w:hAnsi="黑体" w:eastAsia="黑体" w:cs="黑体"/>
                <w:b w:val="0"/>
                <w:bCs/>
                <w:color w:val="000000"/>
                <w:sz w:val="24"/>
                <w:szCs w:val="24"/>
                <w:highlight w:val="none"/>
                <w:vertAlign w:val="baseline"/>
                <w:lang w:eastAsia="zh-CN"/>
              </w:rPr>
              <w:t>60</w:t>
            </w:r>
          </w:p>
        </w:tc>
        <w:tc>
          <w:tcPr>
            <w:tcW w:w="1866" w:type="dxa"/>
          </w:tcPr>
          <w:p w14:paraId="00730EC5">
            <w:pPr>
              <w:keepNext w:val="0"/>
              <w:keepLines w:val="0"/>
              <w:pageBreakBefore w:val="0"/>
              <w:widowControl w:val="0"/>
              <w:numPr>
                <w:ilvl w:val="0"/>
                <w:numId w:val="0"/>
              </w:numPr>
              <w:kinsoku/>
              <w:wordWrap/>
              <w:overflowPunct/>
              <w:topLinePunct w:val="0"/>
              <w:autoSpaceDE/>
              <w:autoSpaceDN/>
              <w:bidi w:val="0"/>
              <w:adjustRightInd/>
              <w:snapToGrid/>
              <w:spacing w:line="500" w:lineRule="atLeast"/>
              <w:jc w:val="center"/>
              <w:textAlignment w:val="auto"/>
              <w:rPr>
                <w:rFonts w:hint="eastAsia" w:ascii="黑体" w:hAnsi="黑体" w:eastAsia="黑体" w:cs="黑体"/>
                <w:b w:val="0"/>
                <w:bCs/>
                <w:color w:val="000000"/>
                <w:sz w:val="24"/>
                <w:szCs w:val="24"/>
                <w:highlight w:val="none"/>
                <w:vertAlign w:val="baseline"/>
                <w:lang w:eastAsia="zh-CN"/>
              </w:rPr>
            </w:pPr>
            <w:r>
              <w:rPr>
                <w:rFonts w:hint="eastAsia" w:ascii="黑体" w:hAnsi="黑体" w:eastAsia="黑体" w:cs="黑体"/>
                <w:b w:val="0"/>
                <w:bCs/>
                <w:color w:val="000000"/>
                <w:sz w:val="24"/>
                <w:szCs w:val="24"/>
                <w:highlight w:val="none"/>
                <w:vertAlign w:val="baseline"/>
                <w:lang w:eastAsia="zh-CN"/>
              </w:rPr>
              <w:t>39</w:t>
            </w:r>
          </w:p>
        </w:tc>
      </w:tr>
      <w:tr w14:paraId="48418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gridSpan w:val="4"/>
          </w:tcPr>
          <w:p w14:paraId="35FC8677">
            <w:pPr>
              <w:keepNext w:val="0"/>
              <w:keepLines w:val="0"/>
              <w:pageBreakBefore w:val="0"/>
              <w:widowControl w:val="0"/>
              <w:numPr>
                <w:ilvl w:val="0"/>
                <w:numId w:val="0"/>
              </w:numPr>
              <w:kinsoku/>
              <w:wordWrap/>
              <w:overflowPunct/>
              <w:topLinePunct w:val="0"/>
              <w:autoSpaceDE/>
              <w:autoSpaceDN/>
              <w:bidi w:val="0"/>
              <w:adjustRightInd/>
              <w:snapToGrid/>
              <w:spacing w:line="500" w:lineRule="atLeast"/>
              <w:jc w:val="both"/>
              <w:textAlignment w:val="auto"/>
              <w:rPr>
                <w:rFonts w:hint="eastAsia" w:ascii="黑体" w:hAnsi="黑体" w:eastAsia="黑体" w:cs="黑体"/>
                <w:b w:val="0"/>
                <w:bCs/>
                <w:color w:val="000000"/>
                <w:sz w:val="24"/>
                <w:szCs w:val="24"/>
                <w:highlight w:val="none"/>
                <w:vertAlign w:val="baseline"/>
                <w:lang w:eastAsia="zh-CN"/>
              </w:rPr>
            </w:pPr>
            <w:r>
              <w:rPr>
                <w:rFonts w:hint="eastAsia" w:ascii="黑体" w:hAnsi="黑体" w:eastAsia="黑体" w:cs="黑体"/>
                <w:b w:val="0"/>
                <w:bCs/>
                <w:color w:val="000000"/>
                <w:sz w:val="24"/>
                <w:szCs w:val="24"/>
                <w:highlight w:val="none"/>
                <w:vertAlign w:val="baseline"/>
                <w:lang w:eastAsia="zh-CN"/>
              </w:rPr>
              <w:t>规划根据城市发展进程及经验估算</w:t>
            </w:r>
          </w:p>
        </w:tc>
      </w:tr>
    </w:tbl>
    <w:p w14:paraId="48141F1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仿宋" w:hAnsi="仿宋" w:eastAsia="仿宋" w:cs="仿宋"/>
          <w:b/>
          <w:color w:val="000000"/>
          <w:sz w:val="32"/>
          <w:szCs w:val="32"/>
          <w:highlight w:val="none"/>
        </w:rPr>
      </w:pPr>
    </w:p>
    <w:p w14:paraId="11865E2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ascii="黑体" w:hAnsi="宋体" w:eastAsia="黑体" w:cs="黑体"/>
          <w:b w:val="0"/>
          <w:color w:val="000000"/>
          <w:sz w:val="32"/>
          <w:szCs w:val="32"/>
          <w:highlight w:val="none"/>
        </w:rPr>
      </w:pPr>
      <w:r>
        <w:rPr>
          <w:rFonts w:hint="eastAsia" w:ascii="黑体" w:hAnsi="宋体" w:eastAsia="黑体" w:cs="黑体"/>
          <w:b w:val="0"/>
          <w:color w:val="000000"/>
          <w:sz w:val="32"/>
          <w:szCs w:val="32"/>
          <w:highlight w:val="none"/>
          <w:lang w:eastAsia="zh-CN"/>
        </w:rPr>
        <w:t>第四章</w:t>
      </w:r>
      <w:r>
        <w:rPr>
          <w:rFonts w:hint="eastAsia" w:ascii="黑体" w:hAnsi="宋体" w:eastAsia="黑体" w:cs="黑体"/>
          <w:b w:val="0"/>
          <w:color w:val="000000"/>
          <w:sz w:val="32"/>
          <w:szCs w:val="32"/>
          <w:highlight w:val="none"/>
          <w:lang w:val="en-US" w:eastAsia="zh-CN"/>
        </w:rPr>
        <w:t xml:space="preserve"> </w:t>
      </w:r>
      <w:r>
        <w:rPr>
          <w:rFonts w:ascii="黑体" w:hAnsi="宋体" w:eastAsia="黑体" w:cs="黑体"/>
          <w:b w:val="0"/>
          <w:color w:val="000000"/>
          <w:sz w:val="32"/>
          <w:szCs w:val="32"/>
          <w:highlight w:val="none"/>
        </w:rPr>
        <w:t>收集运输体系</w:t>
      </w:r>
    </w:p>
    <w:p w14:paraId="6F6DF3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黑体" w:hAnsi="宋体" w:eastAsia="黑体" w:cs="黑体"/>
          <w:b w:val="0"/>
          <w:color w:val="000000"/>
          <w:sz w:val="32"/>
          <w:szCs w:val="32"/>
          <w:highlight w:val="none"/>
        </w:rPr>
      </w:pPr>
      <w:r>
        <w:rPr>
          <w:rFonts w:ascii="黑体" w:hAnsi="宋体" w:eastAsia="黑体" w:cs="黑体"/>
          <w:b w:val="0"/>
          <w:color w:val="000000"/>
          <w:sz w:val="32"/>
          <w:szCs w:val="32"/>
          <w:highlight w:val="none"/>
        </w:rPr>
        <w:t>第十条 收运基本要求</w:t>
      </w:r>
    </w:p>
    <w:p w14:paraId="7B2115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ascii="仿宋_GB2312" w:hAnsi="仿宋_GB2312" w:eastAsia="仿宋_GB2312" w:cs="仿宋_GB2312"/>
          <w:b/>
          <w:bCs/>
          <w:snapToGrid w:val="0"/>
          <w:color w:val="000000"/>
          <w:kern w:val="2"/>
          <w:sz w:val="32"/>
          <w:szCs w:val="32"/>
          <w:highlight w:val="none"/>
          <w:lang w:val="en-US" w:eastAsia="zh-CN" w:bidi="ar-SA"/>
        </w:rPr>
        <w:t>1.产生单位。</w:t>
      </w:r>
      <w:r>
        <w:rPr>
          <w:rFonts w:hint="eastAsia" w:ascii="仿宋_GB2312" w:hAnsi="仿宋_GB2312" w:eastAsia="仿宋_GB2312" w:cs="仿宋_GB2312"/>
          <w:b w:val="0"/>
          <w:bCs w:val="0"/>
          <w:snapToGrid w:val="0"/>
          <w:color w:val="000000"/>
          <w:kern w:val="2"/>
          <w:sz w:val="32"/>
          <w:szCs w:val="32"/>
          <w:highlight w:val="none"/>
          <w:lang w:val="en-US" w:eastAsia="zh-CN" w:bidi="ar-SA"/>
        </w:rPr>
        <w:t>工程建设单位或施工单位应当向当地行政审批部门申请建筑垃圾处置核准许可，编制建筑垃圾分类处置方案。应在施工现场设置建筑垃圾运输处置公示牌，标明运输企业名称以及主管部门投诉电话；建筑垃圾分类堆放（分为渣土、碎石块、废砂浆、砖瓦碎块、混凝土块、沥青块、 废塑料、废金属料、废竹木等）；渣土不能在四十八小时内清运的，应当采取全覆盖等措施控制扬尘。出入口进行道路硬化，设置冲洗设施等。城市道路挖掘、市政设施抢修以及居民装饰装潢作业的，施工现场无法设置车辆冲洗设施的，应当采取其他保洁措施，保证净车出场。</w:t>
      </w:r>
    </w:p>
    <w:p w14:paraId="39024C6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ascii="仿宋_GB2312" w:hAnsi="仿宋_GB2312" w:eastAsia="仿宋_GB2312" w:cs="仿宋_GB2312"/>
          <w:b/>
          <w:bCs/>
          <w:snapToGrid w:val="0"/>
          <w:color w:val="000000"/>
          <w:kern w:val="2"/>
          <w:sz w:val="32"/>
          <w:szCs w:val="32"/>
          <w:highlight w:val="none"/>
          <w:lang w:val="en-US" w:eastAsia="zh-CN" w:bidi="ar-SA"/>
        </w:rPr>
        <w:t>2.收集运输单位。</w:t>
      </w:r>
      <w:r>
        <w:rPr>
          <w:rFonts w:hint="eastAsia" w:ascii="仿宋_GB2312" w:hAnsi="仿宋_GB2312" w:eastAsia="仿宋_GB2312" w:cs="仿宋_GB2312"/>
          <w:b w:val="0"/>
          <w:bCs w:val="0"/>
          <w:snapToGrid w:val="0"/>
          <w:color w:val="000000"/>
          <w:kern w:val="2"/>
          <w:sz w:val="32"/>
          <w:szCs w:val="32"/>
          <w:highlight w:val="none"/>
          <w:lang w:val="en-US" w:eastAsia="zh-CN" w:bidi="ar-SA"/>
        </w:rPr>
        <w:t>经营建筑垃圾运输业务的单位应当在取得车辆道路运输经营许可后，向当地行政审批部门申请建筑垃圾处置核准（运输单位）许可。运输车辆应当按照管理部门的要求安装使用卫星定位装置，</w:t>
      </w:r>
      <w:r>
        <w:rPr>
          <w:rFonts w:hint="eastAsia" w:ascii="仿宋_GB2312" w:hAnsi="仿宋_GB2312" w:eastAsia="仿宋_GB2312" w:cs="仿宋_GB2312"/>
          <w:color w:val="auto"/>
          <w:kern w:val="2"/>
          <w:sz w:val="32"/>
          <w:szCs w:val="32"/>
          <w:lang w:val="en-US" w:eastAsia="zh-CN" w:bidi="ar-SA"/>
        </w:rPr>
        <w:t>具有货箱密闭设施</w:t>
      </w:r>
      <w:r>
        <w:rPr>
          <w:rFonts w:hint="eastAsia" w:ascii="仿宋_GB2312" w:hAnsi="仿宋_GB2312" w:eastAsia="仿宋_GB2312" w:cs="仿宋_GB2312"/>
          <w:b w:val="0"/>
          <w:bCs w:val="0"/>
          <w:snapToGrid w:val="0"/>
          <w:color w:val="000000"/>
          <w:kern w:val="2"/>
          <w:sz w:val="32"/>
          <w:szCs w:val="32"/>
          <w:highlight w:val="none"/>
          <w:lang w:val="en-US" w:eastAsia="zh-CN" w:bidi="ar-SA"/>
        </w:rPr>
        <w:t>；按照规定喷印所属企业名称，按照规定的路线和时间运输建筑垃圾。</w:t>
      </w:r>
    </w:p>
    <w:p w14:paraId="0253A05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ascii="仿宋_GB2312" w:hAnsi="仿宋_GB2312" w:eastAsia="仿宋_GB2312" w:cs="仿宋_GB2312"/>
          <w:b/>
          <w:bCs/>
          <w:snapToGrid w:val="0"/>
          <w:color w:val="000000"/>
          <w:kern w:val="2"/>
          <w:sz w:val="32"/>
          <w:szCs w:val="32"/>
          <w:highlight w:val="none"/>
          <w:lang w:val="en-US" w:eastAsia="zh-CN" w:bidi="ar-SA"/>
        </w:rPr>
        <w:t>3.消纳管理。</w:t>
      </w:r>
      <w:r>
        <w:rPr>
          <w:rFonts w:hint="eastAsia" w:ascii="仿宋_GB2312" w:hAnsi="仿宋_GB2312" w:eastAsia="仿宋_GB2312" w:cs="仿宋_GB2312"/>
          <w:b w:val="0"/>
          <w:bCs w:val="0"/>
          <w:snapToGrid w:val="0"/>
          <w:color w:val="000000"/>
          <w:kern w:val="2"/>
          <w:sz w:val="32"/>
          <w:szCs w:val="32"/>
          <w:highlight w:val="none"/>
          <w:lang w:val="en-US" w:eastAsia="zh-CN" w:bidi="ar-SA"/>
        </w:rPr>
        <w:t xml:space="preserve">建筑垃圾消纳场由区（县级市）市容环境卫生主管部门根据需要，会同自然资源和规划、生态环境、城市管理、水利、林业等部门确定，并向社会公布。建筑垃圾消纳场应当按照规定，实施场内道路硬化，设置清洗设施，配置管理人员和保洁人员，查验进场车辆的安全证、准运证、通行证，建立日作业台账，配备监控设施。   </w:t>
      </w:r>
    </w:p>
    <w:p w14:paraId="7D72E55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color w:val="000000"/>
          <w:sz w:val="32"/>
          <w:szCs w:val="32"/>
        </w:rPr>
      </w:pPr>
      <w:r>
        <w:rPr>
          <w:rFonts w:ascii="黑体" w:hAnsi="宋体" w:eastAsia="黑体" w:cs="黑体"/>
          <w:b w:val="0"/>
          <w:color w:val="000000"/>
          <w:sz w:val="32"/>
          <w:szCs w:val="32"/>
        </w:rPr>
        <w:t xml:space="preserve">第十一条 收运体系 </w:t>
      </w:r>
      <w:r>
        <w:rPr>
          <w:rFonts w:hint="eastAsia" w:ascii="仿宋_GB2312" w:hAnsi="仿宋_GB2312" w:eastAsia="仿宋_GB2312" w:cs="仿宋_GB2312"/>
          <w:b w:val="0"/>
          <w:bCs w:val="0"/>
          <w:snapToGrid w:val="0"/>
          <w:color w:val="000000"/>
          <w:kern w:val="2"/>
          <w:sz w:val="32"/>
          <w:szCs w:val="32"/>
          <w:highlight w:val="none"/>
          <w:lang w:val="en-US" w:eastAsia="zh-CN" w:bidi="ar-SA"/>
        </w:rPr>
        <w:t xml:space="preserve">工程渣土、工程垃圾、拆除垃圾和装修垃圾应其产生源不同，收运体系不同。 </w:t>
      </w:r>
    </w:p>
    <w:p w14:paraId="7E07D4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napToGrid w:val="0"/>
          <w:color w:val="000000"/>
          <w:kern w:val="2"/>
          <w:sz w:val="32"/>
          <w:szCs w:val="32"/>
          <w:highlight w:val="none"/>
          <w:lang w:val="en-US" w:eastAsia="zh-CN" w:bidi="ar-SA"/>
        </w:rPr>
      </w:pPr>
      <w:r>
        <w:rPr>
          <w:rFonts w:hint="eastAsia" w:ascii="仿宋_GB2312" w:hAnsi="仿宋_GB2312" w:eastAsia="仿宋_GB2312" w:cs="仿宋_GB2312"/>
          <w:b/>
          <w:bCs/>
          <w:snapToGrid w:val="0"/>
          <w:color w:val="000000"/>
          <w:kern w:val="2"/>
          <w:sz w:val="32"/>
          <w:szCs w:val="32"/>
          <w:highlight w:val="none"/>
          <w:lang w:val="en-US" w:eastAsia="zh-CN" w:bidi="ar-SA"/>
        </w:rPr>
        <w:t>（一）工程渣土、工程垃圾和拆除垃圾。</w:t>
      </w:r>
    </w:p>
    <w:p w14:paraId="52E2B3C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ascii="仿宋_GB2312" w:hAnsi="仿宋_GB2312" w:eastAsia="仿宋_GB2312" w:cs="仿宋_GB2312"/>
          <w:b w:val="0"/>
          <w:bCs w:val="0"/>
          <w:snapToGrid w:val="0"/>
          <w:color w:val="000000"/>
          <w:kern w:val="2"/>
          <w:sz w:val="32"/>
          <w:szCs w:val="32"/>
          <w:highlight w:val="none"/>
          <w:lang w:val="en-US" w:eastAsia="zh-CN" w:bidi="ar-SA"/>
        </w:rPr>
        <w:t>1.收运主体。具备建筑垃圾运输核准许可的建筑垃圾运输企业。</w:t>
      </w:r>
    </w:p>
    <w:p w14:paraId="0A4460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ascii="仿宋_GB2312" w:hAnsi="仿宋_GB2312" w:eastAsia="仿宋_GB2312" w:cs="仿宋_GB2312"/>
          <w:b w:val="0"/>
          <w:bCs w:val="0"/>
          <w:snapToGrid w:val="0"/>
          <w:color w:val="000000"/>
          <w:kern w:val="2"/>
          <w:sz w:val="32"/>
          <w:szCs w:val="32"/>
          <w:highlight w:val="none"/>
          <w:lang w:val="en-US" w:eastAsia="zh-CN" w:bidi="ar-SA"/>
        </w:rPr>
        <w:t>2.收运流程。</w:t>
      </w:r>
    </w:p>
    <w:p w14:paraId="59FCAF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ascii="仿宋_GB2312" w:hAnsi="仿宋_GB2312" w:eastAsia="仿宋_GB2312" w:cs="仿宋_GB2312"/>
          <w:b w:val="0"/>
          <w:bCs w:val="0"/>
          <w:snapToGrid w:val="0"/>
          <w:color w:val="000000"/>
          <w:kern w:val="2"/>
          <w:sz w:val="32"/>
          <w:szCs w:val="32"/>
          <w:highlight w:val="none"/>
          <w:lang w:val="en-US" w:eastAsia="zh-CN" w:bidi="ar-SA"/>
        </w:rPr>
        <w:t>（1）行政许可阶段：建设单位到辖区行政审批部门办理处置核准许可手续，提交工程相关信息，确定运输单位、运输时间。</w:t>
      </w:r>
    </w:p>
    <w:p w14:paraId="1FE4F16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ascii="仿宋_GB2312" w:hAnsi="仿宋_GB2312" w:eastAsia="仿宋_GB2312" w:cs="仿宋_GB2312"/>
          <w:b w:val="0"/>
          <w:bCs w:val="0"/>
          <w:snapToGrid w:val="0"/>
          <w:color w:val="000000"/>
          <w:kern w:val="2"/>
          <w:sz w:val="32"/>
          <w:szCs w:val="32"/>
          <w:highlight w:val="none"/>
          <w:lang w:val="en-US" w:eastAsia="zh-CN" w:bidi="ar-SA"/>
        </w:rPr>
        <w:t>（2）施工阶段：工程要封闭施工和降尘施工，施工出入口应当硬化，设立车辆冲洗设备和沉淀池，严禁在车行道上堆放施工材料和建筑垃圾。工地开工后，工程渣土、工程垃圾和拆除垃圾均按照管理要求分类堆放，住建管理部门不定期地到工地进行巡查。</w:t>
      </w:r>
    </w:p>
    <w:p w14:paraId="5FB3103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ascii="仿宋_GB2312" w:hAnsi="仿宋_GB2312" w:eastAsia="仿宋_GB2312" w:cs="仿宋_GB2312"/>
          <w:b w:val="0"/>
          <w:bCs w:val="0"/>
          <w:snapToGrid w:val="0"/>
          <w:color w:val="000000"/>
          <w:kern w:val="2"/>
          <w:sz w:val="32"/>
          <w:szCs w:val="32"/>
          <w:highlight w:val="none"/>
          <w:lang w:val="en-US" w:eastAsia="zh-CN" w:bidi="ar-SA"/>
        </w:rPr>
        <w:t>（3）运输阶段：工程渣土、工程垃圾和拆除垃圾产生后，由运输单位进场进行清运。建筑垃圾运输车辆安装卫星定位系统，其行驶路线和时间由</w:t>
      </w:r>
      <w:r>
        <w:rPr>
          <w:rFonts w:hint="eastAsia" w:ascii="仿宋_GB2312" w:hAnsi="仿宋_GB2312" w:eastAsia="仿宋_GB2312" w:cs="仿宋_GB2312"/>
          <w:b w:val="0"/>
          <w:bCs w:val="0"/>
          <w:snapToGrid w:val="0"/>
          <w:color w:val="000000"/>
          <w:kern w:val="2"/>
          <w:sz w:val="32"/>
          <w:szCs w:val="32"/>
          <w:highlight w:val="yellow"/>
          <w:lang w:val="en-US" w:eastAsia="zh-CN" w:bidi="ar-SA"/>
        </w:rPr>
        <w:t>公安部门</w:t>
      </w:r>
      <w:r>
        <w:rPr>
          <w:rFonts w:hint="eastAsia" w:ascii="仿宋_GB2312" w:hAnsi="仿宋_GB2312" w:eastAsia="仿宋_GB2312" w:cs="仿宋_GB2312"/>
          <w:b w:val="0"/>
          <w:bCs w:val="0"/>
          <w:snapToGrid w:val="0"/>
          <w:color w:val="000000"/>
          <w:kern w:val="2"/>
          <w:sz w:val="32"/>
          <w:szCs w:val="32"/>
          <w:highlight w:val="none"/>
          <w:lang w:val="en-US" w:eastAsia="zh-CN" w:bidi="ar-SA"/>
        </w:rPr>
        <w:t>确定。运输建筑垃圾的过程中保持箱体完好，采取密闭措施，相关执法部门严厉查处无证运输车辆带泥行驶、抛洒滴漏等情况。</w:t>
      </w:r>
    </w:p>
    <w:p w14:paraId="0F16B1F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ascii="仿宋_GB2312" w:hAnsi="仿宋_GB2312" w:eastAsia="仿宋_GB2312" w:cs="仿宋_GB2312"/>
          <w:b w:val="0"/>
          <w:bCs w:val="0"/>
          <w:snapToGrid w:val="0"/>
          <w:color w:val="000000"/>
          <w:kern w:val="2"/>
          <w:sz w:val="32"/>
          <w:szCs w:val="32"/>
          <w:highlight w:val="none"/>
          <w:lang w:val="en-US" w:eastAsia="zh-CN" w:bidi="ar-SA"/>
        </w:rPr>
        <w:t>（4）处置阶段：工程渣土、工程垃圾和拆除垃圾必须清运至指定的处置场所进行资源化利用或最终处置。处置场所安装视频设备，通过建筑垃圾信息管理系统对进出车辆和处置场运行情况进行监管。</w:t>
      </w:r>
    </w:p>
    <w:p w14:paraId="29F6297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napToGrid w:val="0"/>
          <w:color w:val="000000"/>
          <w:kern w:val="2"/>
          <w:sz w:val="32"/>
          <w:szCs w:val="32"/>
          <w:highlight w:val="none"/>
          <w:lang w:val="en-US" w:eastAsia="zh-CN" w:bidi="ar-SA"/>
        </w:rPr>
      </w:pPr>
      <w:r>
        <w:rPr>
          <w:rFonts w:hint="eastAsia" w:ascii="仿宋_GB2312" w:hAnsi="仿宋_GB2312" w:eastAsia="仿宋_GB2312" w:cs="仿宋_GB2312"/>
          <w:b/>
          <w:bCs/>
          <w:snapToGrid w:val="0"/>
          <w:color w:val="000000"/>
          <w:kern w:val="2"/>
          <w:sz w:val="32"/>
          <w:szCs w:val="32"/>
          <w:highlight w:val="none"/>
          <w:lang w:val="en-US" w:eastAsia="zh-CN" w:bidi="ar-SA"/>
        </w:rPr>
        <w:t>（二）装修垃圾</w:t>
      </w:r>
    </w:p>
    <w:p w14:paraId="21982F5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ascii="仿宋_GB2312" w:hAnsi="仿宋_GB2312" w:eastAsia="仿宋_GB2312" w:cs="仿宋_GB2312"/>
          <w:b w:val="0"/>
          <w:bCs w:val="0"/>
          <w:snapToGrid w:val="0"/>
          <w:color w:val="000000"/>
          <w:kern w:val="2"/>
          <w:sz w:val="32"/>
          <w:szCs w:val="32"/>
          <w:highlight w:val="none"/>
          <w:lang w:val="en-US" w:eastAsia="zh-CN" w:bidi="ar-SA"/>
        </w:rPr>
        <w:t>1.收运主体。具备建筑垃圾运输核准许可的建筑垃圾运输企业。</w:t>
      </w:r>
    </w:p>
    <w:p w14:paraId="041E726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ascii="仿宋_GB2312" w:hAnsi="仿宋_GB2312" w:eastAsia="仿宋_GB2312" w:cs="仿宋_GB2312"/>
          <w:b w:val="0"/>
          <w:bCs w:val="0"/>
          <w:snapToGrid w:val="0"/>
          <w:color w:val="000000"/>
          <w:kern w:val="2"/>
          <w:sz w:val="32"/>
          <w:szCs w:val="32"/>
          <w:highlight w:val="none"/>
          <w:lang w:val="en-US" w:eastAsia="zh-CN" w:bidi="ar-SA"/>
        </w:rPr>
        <w:t>2.收运流程</w:t>
      </w:r>
    </w:p>
    <w:p w14:paraId="33866A4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ascii="仿宋_GB2312" w:hAnsi="仿宋_GB2312" w:eastAsia="仿宋_GB2312" w:cs="仿宋_GB2312"/>
          <w:b w:val="0"/>
          <w:bCs w:val="0"/>
          <w:snapToGrid w:val="0"/>
          <w:color w:val="000000"/>
          <w:kern w:val="2"/>
          <w:sz w:val="32"/>
          <w:szCs w:val="32"/>
          <w:highlight w:val="none"/>
          <w:lang w:val="en-US" w:eastAsia="zh-CN" w:bidi="ar-SA"/>
        </w:rPr>
        <w:t>（1）施工阶段：各镇街或居住区内设置装修垃圾收集点，商场、企业在内部划出区域作为临时堆放场地，产生的装修垃圾需进行分类、袋装，堆放于集中收集场地。</w:t>
      </w:r>
    </w:p>
    <w:p w14:paraId="3772F2D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ascii="仿宋_GB2312" w:hAnsi="仿宋_GB2312" w:eastAsia="仿宋_GB2312" w:cs="仿宋_GB2312"/>
          <w:b w:val="0"/>
          <w:bCs w:val="0"/>
          <w:snapToGrid w:val="0"/>
          <w:color w:val="000000"/>
          <w:kern w:val="2"/>
          <w:sz w:val="32"/>
          <w:szCs w:val="32"/>
          <w:highlight w:val="none"/>
          <w:lang w:val="en-US" w:eastAsia="zh-CN" w:bidi="ar-SA"/>
        </w:rPr>
        <w:t xml:space="preserve">（2）运输阶段：产生单位、个人或物业公司事先申请或委托，由经运输核准的运输企业至装修垃圾收集点进行分类收集，再运至建筑垃圾转运调配场或资源化利用厂。转运调配场的要进行细分类后，由运输公司运至各类处置场所。住建、公安、执法等部门对运输路线进行监管。   </w:t>
      </w:r>
    </w:p>
    <w:p w14:paraId="708CEEC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ascii="仿宋_GB2312" w:hAnsi="仿宋_GB2312" w:eastAsia="仿宋_GB2312" w:cs="仿宋_GB2312"/>
          <w:b w:val="0"/>
          <w:bCs w:val="0"/>
          <w:snapToGrid w:val="0"/>
          <w:color w:val="000000"/>
          <w:kern w:val="2"/>
          <w:sz w:val="32"/>
          <w:szCs w:val="32"/>
          <w:highlight w:val="none"/>
          <w:lang w:val="en-US" w:eastAsia="zh-CN" w:bidi="ar-SA"/>
        </w:rPr>
        <w:t>（3）处置阶段：装修垃圾分类清运至指定的处置场所进行资源化利用或处置。处置场所安装视频设备，通过建筑垃圾信息管理系统对进出车辆和处置场运行情况进行监管。</w:t>
      </w:r>
    </w:p>
    <w:p w14:paraId="3CB56AB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ascii="仿宋_GB2312" w:hAnsi="仿宋_GB2312" w:eastAsia="仿宋_GB2312" w:cs="仿宋_GB2312"/>
          <w:b w:val="0"/>
          <w:bCs w:val="0"/>
          <w:snapToGrid w:val="0"/>
          <w:color w:val="000000"/>
          <w:kern w:val="2"/>
          <w:sz w:val="32"/>
          <w:szCs w:val="32"/>
          <w:highlight w:val="none"/>
          <w:lang w:val="en-US" w:eastAsia="zh-CN" w:bidi="ar-SA"/>
        </w:rPr>
        <w:t>（4）执法检查：针对偷倒乱倒装修垃圾的行为，由城管执法部门进行处罚。</w:t>
      </w:r>
    </w:p>
    <w:p w14:paraId="69FFD6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ascii="仿宋" w:hAnsi="仿宋" w:eastAsia="仿宋" w:cs="仿宋"/>
          <w:b w:val="0"/>
          <w:color w:val="000000"/>
          <w:sz w:val="32"/>
          <w:szCs w:val="32"/>
        </w:rPr>
        <w:t xml:space="preserve"> </w:t>
      </w:r>
      <w:r>
        <w:rPr>
          <w:rFonts w:ascii="黑体" w:hAnsi="宋体" w:eastAsia="黑体" w:cs="黑体"/>
          <w:b w:val="0"/>
          <w:color w:val="000000"/>
          <w:sz w:val="32"/>
          <w:szCs w:val="32"/>
        </w:rPr>
        <w:t xml:space="preserve">第十二条 收运设施规划 </w:t>
      </w:r>
      <w:r>
        <w:rPr>
          <w:rFonts w:hint="eastAsia" w:ascii="仿宋_GB2312" w:hAnsi="仿宋_GB2312" w:eastAsia="仿宋_GB2312" w:cs="仿宋_GB2312"/>
          <w:b w:val="0"/>
          <w:bCs w:val="0"/>
          <w:snapToGrid w:val="0"/>
          <w:color w:val="000000"/>
          <w:kern w:val="2"/>
          <w:sz w:val="32"/>
          <w:szCs w:val="32"/>
          <w:highlight w:val="none"/>
          <w:lang w:val="en-US" w:eastAsia="zh-CN" w:bidi="ar-SA"/>
        </w:rPr>
        <w:t>收运体系设施主要包括装修垃圾收集点和建筑垃圾转运调配场。</w:t>
      </w:r>
    </w:p>
    <w:p w14:paraId="52BB922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val="0"/>
          <w:bCs w:val="0"/>
          <w:snapToGrid w:val="0"/>
          <w:color w:val="000000"/>
          <w:kern w:val="2"/>
          <w:sz w:val="32"/>
          <w:szCs w:val="32"/>
          <w:highlight w:val="none"/>
          <w:lang w:val="en-US" w:eastAsia="zh-CN" w:bidi="ar-SA"/>
        </w:rPr>
      </w:pPr>
      <w:r>
        <w:rPr>
          <w:rFonts w:hint="eastAsia" w:ascii="仿宋_GB2312" w:hAnsi="仿宋_GB2312" w:eastAsia="仿宋_GB2312" w:cs="仿宋_GB2312"/>
          <w:b/>
          <w:bCs/>
          <w:snapToGrid w:val="0"/>
          <w:color w:val="000000"/>
          <w:kern w:val="2"/>
          <w:sz w:val="32"/>
          <w:szCs w:val="32"/>
          <w:highlight w:val="none"/>
          <w:lang w:val="en-US" w:eastAsia="zh-CN" w:bidi="ar-SA"/>
        </w:rPr>
        <w:t>（一）装修垃圾收集点。</w:t>
      </w:r>
      <w:r>
        <w:rPr>
          <w:rFonts w:hint="eastAsia" w:ascii="仿宋_GB2312" w:hAnsi="仿宋_GB2312" w:eastAsia="仿宋_GB2312" w:cs="仿宋_GB2312"/>
          <w:b w:val="0"/>
          <w:bCs w:val="0"/>
          <w:snapToGrid w:val="0"/>
          <w:color w:val="000000"/>
          <w:kern w:val="2"/>
          <w:sz w:val="32"/>
          <w:szCs w:val="32"/>
          <w:highlight w:val="none"/>
          <w:lang w:val="en-US" w:eastAsia="zh-CN" w:bidi="ar-SA"/>
        </w:rPr>
        <w:t>装修垃圾收集点为装修垃圾的前端收集设施，用于居民在建造、装饰、维修和拆除房屋过程中产生的建筑垃圾的集中收集和临时堆放，便于装修垃圾集中运往建筑垃圾调配场、消纳场和终端处理设施。</w:t>
      </w:r>
      <w:r>
        <w:rPr>
          <w:rFonts w:hint="eastAsia" w:ascii="仿宋_GB2312" w:hAnsi="仿宋_GB2312" w:eastAsia="仿宋_GB2312" w:cs="仿宋_GB2312"/>
          <w:b w:val="0"/>
          <w:bCs w:val="0"/>
          <w:snapToGrid w:val="0"/>
          <w:color w:val="000000"/>
          <w:kern w:val="2"/>
          <w:sz w:val="32"/>
          <w:szCs w:val="32"/>
          <w:highlight w:val="yellow"/>
          <w:lang w:val="en-US" w:eastAsia="zh-CN" w:bidi="ar-SA"/>
        </w:rPr>
        <w:t>新建居住小区交付时，同步划定装修垃圾收集场地，</w:t>
      </w:r>
      <w:r>
        <w:rPr>
          <w:rFonts w:hint="eastAsia" w:ascii="仿宋_GB2312" w:hAnsi="仿宋_GB2312" w:eastAsia="仿宋_GB2312" w:cs="仿宋_GB2312"/>
          <w:b w:val="0"/>
          <w:bCs w:val="0"/>
          <w:snapToGrid w:val="0"/>
          <w:color w:val="000000"/>
          <w:kern w:val="2"/>
          <w:sz w:val="32"/>
          <w:szCs w:val="32"/>
          <w:highlight w:val="none"/>
          <w:lang w:val="en-US" w:eastAsia="zh-CN" w:bidi="ar-SA"/>
        </w:rPr>
        <w:t>并应有环卫主管部门参与验收；已有居住区应单独设置装修垃圾收集点，确保装修垃圾与其他建筑垃圾分类收集。无物业的居住区和门店，由属地环境卫生主管部门设置相对集中的建筑垃圾转运调配场，可结合老城区的拆建改造或利用暂不使用地块设置。</w:t>
      </w:r>
    </w:p>
    <w:p w14:paraId="1CA2B10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napToGrid w:val="0"/>
          <w:color w:val="000000"/>
          <w:kern w:val="2"/>
          <w:sz w:val="32"/>
          <w:szCs w:val="32"/>
          <w:highlight w:val="none"/>
          <w:lang w:val="en-US" w:eastAsia="zh-CN" w:bidi="ar-SA"/>
        </w:rPr>
        <w:t>（二）建筑垃圾转运调配场。</w:t>
      </w:r>
      <w:r>
        <w:rPr>
          <w:rFonts w:hint="eastAsia" w:ascii="仿宋_GB2312" w:hAnsi="仿宋_GB2312" w:eastAsia="仿宋_GB2312" w:cs="仿宋_GB2312"/>
          <w:b w:val="0"/>
          <w:bCs w:val="0"/>
          <w:snapToGrid w:val="0"/>
          <w:color w:val="000000"/>
          <w:kern w:val="2"/>
          <w:sz w:val="32"/>
          <w:szCs w:val="32"/>
          <w:highlight w:val="none"/>
          <w:lang w:val="en-US" w:eastAsia="zh-CN" w:bidi="ar-SA"/>
        </w:rPr>
        <w:t>建筑垃圾调配场主要用于建筑垃圾（包括工程渣土）的集中和前端分拣，以及需要中转的建筑垃圾的临时堆放。其中的装修垃圾和拆除垃圾经收集、运输到终端处理设施进行集中处理。建筑垃圾调配场的用地性质可为临时性用地，由各镇街负责落实选址，建立利用现有建筑垃圾临时堆放点、已拆未建用地、储备用地等进行设置。</w:t>
      </w:r>
      <w:r>
        <w:rPr>
          <w:rFonts w:hint="eastAsia" w:ascii="仿宋_GB2312" w:hAnsi="仿宋_GB2312" w:eastAsia="仿宋_GB2312" w:cs="仿宋_GB2312"/>
          <w:sz w:val="32"/>
          <w:szCs w:val="32"/>
          <w:lang w:val="en-US" w:eastAsia="zh-CN"/>
        </w:rPr>
        <w:t>转运调配场主体设施应包括围挡设施、分类堆放区、场区道路和地基处理</w:t>
      </w:r>
      <w:r>
        <w:rPr>
          <w:rFonts w:hint="default" w:ascii="仿宋_GB2312" w:hAnsi="仿宋_GB2312" w:eastAsia="仿宋_GB2312" w:cs="仿宋_GB2312"/>
          <w:sz w:val="32"/>
          <w:szCs w:val="32"/>
          <w:highlight w:val="yellow"/>
          <w:lang w:val="en-US" w:eastAsia="zh-CN"/>
        </w:rPr>
        <w:t>,</w:t>
      </w:r>
      <w:r>
        <w:rPr>
          <w:rFonts w:hint="eastAsia" w:ascii="仿宋_GB2312" w:hAnsi="仿宋_GB2312" w:eastAsia="仿宋_GB2312" w:cs="仿宋_GB2312"/>
          <w:b w:val="0"/>
          <w:bCs w:val="0"/>
          <w:snapToGrid w:val="0"/>
          <w:color w:val="auto"/>
          <w:kern w:val="2"/>
          <w:sz w:val="32"/>
          <w:szCs w:val="32"/>
          <w:highlight w:val="yellow"/>
          <w:lang w:val="en-US" w:eastAsia="zh-CN" w:bidi="ar-SA"/>
        </w:rPr>
        <w:t>应配备覆盖、喷淋、车辆清洗等抑尘设施，确保不会造成扬尘污染</w:t>
      </w:r>
      <w:r>
        <w:rPr>
          <w:rFonts w:hint="eastAsia" w:ascii="仿宋_GB2312" w:hAnsi="仿宋_GB2312" w:eastAsia="仿宋_GB2312" w:cs="仿宋_GB2312"/>
          <w:sz w:val="32"/>
          <w:szCs w:val="32"/>
          <w:highlight w:val="yellow"/>
          <w:lang w:val="en-US" w:eastAsia="zh-CN"/>
        </w:rPr>
        <w:t>。</w:t>
      </w:r>
    </w:p>
    <w:p w14:paraId="09BCA61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ascii="黑体" w:hAnsi="宋体" w:eastAsia="黑体" w:cs="黑体"/>
          <w:b w:val="0"/>
          <w:color w:val="000000"/>
          <w:sz w:val="32"/>
          <w:szCs w:val="32"/>
        </w:rPr>
      </w:pPr>
    </w:p>
    <w:p w14:paraId="1FD202E5">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ascii="黑体" w:hAnsi="宋体" w:eastAsia="黑体" w:cs="黑体"/>
          <w:b w:val="0"/>
          <w:color w:val="000000"/>
          <w:sz w:val="32"/>
          <w:szCs w:val="32"/>
        </w:rPr>
      </w:pPr>
      <w:r>
        <w:rPr>
          <w:rFonts w:ascii="黑体" w:hAnsi="宋体" w:eastAsia="黑体" w:cs="黑体"/>
          <w:b w:val="0"/>
          <w:color w:val="000000"/>
          <w:sz w:val="32"/>
          <w:szCs w:val="32"/>
        </w:rPr>
        <w:t>第五章 处理利用体系</w:t>
      </w:r>
    </w:p>
    <w:p w14:paraId="02424C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ascii="黑体" w:hAnsi="宋体" w:eastAsia="黑体" w:cs="黑体"/>
          <w:b w:val="0"/>
          <w:color w:val="000000"/>
          <w:sz w:val="32"/>
          <w:szCs w:val="32"/>
        </w:rPr>
      </w:pPr>
      <w:r>
        <w:rPr>
          <w:rFonts w:ascii="黑体" w:hAnsi="宋体" w:eastAsia="黑体" w:cs="黑体"/>
          <w:b w:val="0"/>
          <w:color w:val="000000"/>
          <w:sz w:val="32"/>
          <w:szCs w:val="32"/>
        </w:rPr>
        <w:t>第十三条 技术路线</w:t>
      </w:r>
    </w:p>
    <w:p w14:paraId="2FB3E1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（一）新型建造和组织模式。</w:t>
      </w:r>
      <w:r>
        <w:rPr>
          <w:rFonts w:hint="eastAsia" w:ascii="仿宋_GB2312" w:hAnsi="仿宋_GB2312" w:eastAsia="仿宋_GB2312" w:cs="仿宋_GB2312"/>
          <w:sz w:val="32"/>
          <w:szCs w:val="32"/>
          <w:lang w:val="en-US" w:eastAsia="zh-CN"/>
        </w:rPr>
        <w:t>从源头减少建筑垃圾的排放，不仅要求减少建筑垃圾的数量和体积，还包括尽可能地减少其种类、消除其有害物质的危害特性等。结合绿色施工与绿色工地评价要求，在工程设计和现场施工的组织方面采取有效的减量化措施，有效实现建筑垃圾源头减量。</w:t>
      </w:r>
    </w:p>
    <w:p w14:paraId="70323F2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（1）推广装配化建筑。到 2025 年末，实现全市新建装配式建筑面积占新建建筑面积的比例达到20%以上，其中政府投资工程装配式建筑面积达到50%以上。积极推广装配式建筑，建立建筑垃圾减排体系，加强工程建设项目全生命周期管理，从源头上着力减少建筑垃圾的排放。</w:t>
      </w:r>
    </w:p>
    <w:p w14:paraId="404BF01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（2）提升住宅全装修比例 建立有关住房装修的全过程技术体系和管理体系，引导和鼓励新建建筑住宅一次装修到位或采取菜单式定制装修等模式，着力减少室内装修垃圾产生量。</w:t>
      </w:r>
    </w:p>
    <w:p w14:paraId="7FFB4E5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3）推进新型组织模式。在规模以上政府投资的房屋建筑和市政基础设施领域推行工程总承包和全过程工程咨询模式，促进项目管理和多个工程服务咨询环节紧密衔接，设计、采购、施工的深度融合，构建有利于推进建筑垃圾减量化的组织模式。 </w:t>
      </w:r>
    </w:p>
    <w:p w14:paraId="32469B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（二）提升设计质量和深度。</w:t>
      </w:r>
      <w:r>
        <w:rPr>
          <w:rFonts w:hint="eastAsia" w:ascii="仿宋_GB2312" w:hAnsi="仿宋_GB2312" w:eastAsia="仿宋_GB2312" w:cs="仿宋_GB2312"/>
          <w:sz w:val="32"/>
          <w:szCs w:val="32"/>
          <w:lang w:val="en-US" w:eastAsia="zh-CN"/>
        </w:rPr>
        <w:t>引导设计单位统筹考虑工程全寿命周期的耐久性、可持续性，鼓励设计单位要采用高强度、高性能、高耐久性和可循环材料，推进功能模块和部品构件标准化，减少异型和非标准部品构件，重点支持在改扩建工程中充分利旧进行深化设计。建立绿色设计理念，推行精细化设计，开展土方平衡论证，引导设计单位根据场地实际合理确定标高，减少渣土外运。因地制宜地选择结构体系，减少建筑形体不规则性，深化 BIM 技术应用，加强建筑、结构、机电、装修景观全专业一体化协同设计。</w:t>
      </w:r>
    </w:p>
    <w:p w14:paraId="0E46F6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（三）施工精细化管理。</w:t>
      </w:r>
      <w:r>
        <w:rPr>
          <w:rFonts w:hint="eastAsia" w:ascii="仿宋_GB2312" w:hAnsi="仿宋_GB2312" w:eastAsia="仿宋_GB2312" w:cs="仿宋_GB2312"/>
          <w:sz w:val="32"/>
          <w:szCs w:val="32"/>
          <w:lang w:val="en-US" w:eastAsia="zh-CN"/>
        </w:rPr>
        <w:t>在施工组织设计中设置建筑垃圾减量化工作专篇，明确建筑垃圾单位排放量及减排措施，促进施工单位科学制定施工组织设计，合理确定施工工序，推行数字化加工和信息化，实现精准下料、精细管理，降低建筑材料损耗率。严把材料进场验收关、分部分项工程验收关、工程构件成品保护关；推行监理报告制度，强化工程质量管控，减少因质量问题导致的返工或修补，防止因质量管理不到位而产生大量的建筑垃圾。</w:t>
      </w:r>
    </w:p>
    <w:p w14:paraId="62AC7C6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（四）堆填。利</w:t>
      </w:r>
      <w:r>
        <w:rPr>
          <w:rFonts w:hint="eastAsia" w:ascii="仿宋_GB2312" w:hAnsi="仿宋_GB2312" w:eastAsia="仿宋_GB2312" w:cs="仿宋_GB2312"/>
          <w:sz w:val="32"/>
          <w:szCs w:val="32"/>
          <w:lang w:val="en-US" w:eastAsia="zh-CN"/>
        </w:rPr>
        <w:t>用现有低洼地块或即将开发利用但地坪标高低于使用要求的地块，且地块经有关部门认可，用符合条件的建筑垃圾替代部分土石方进行回填或堆高。</w:t>
      </w:r>
    </w:p>
    <w:p w14:paraId="4B5FB54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（五）资源化利用。</w:t>
      </w:r>
      <w:r>
        <w:rPr>
          <w:rFonts w:hint="eastAsia" w:ascii="仿宋_GB2312" w:hAnsi="仿宋_GB2312" w:eastAsia="仿宋_GB2312" w:cs="仿宋_GB2312"/>
          <w:sz w:val="32"/>
          <w:szCs w:val="32"/>
          <w:lang w:val="en-US" w:eastAsia="zh-CN"/>
        </w:rPr>
        <w:t xml:space="preserve">建筑工程现场产生的建筑垃圾按照不同的成分进行有效分类，选择合适的再生利用方式，进行高效的资源化利用。 </w:t>
      </w:r>
    </w:p>
    <w:p w14:paraId="3507C94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第十四条 资源化利用方案</w:t>
      </w:r>
    </w:p>
    <w:p w14:paraId="465AAB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（一）工程渣土。</w:t>
      </w:r>
      <w:r>
        <w:rPr>
          <w:rFonts w:hint="eastAsia" w:ascii="仿宋_GB2312" w:hAnsi="仿宋_GB2312" w:eastAsia="仿宋_GB2312" w:cs="仿宋_GB2312"/>
          <w:sz w:val="32"/>
          <w:szCs w:val="32"/>
          <w:lang w:val="en-US" w:eastAsia="zh-CN"/>
        </w:rPr>
        <w:t xml:space="preserve">利用途径包括低洼地回填、道路工程回填等，为有效解决工程渣土利用途径，在传统回填利用的基础上，规划拓展工程渣土利用的新途径，包括堆山造景、园林绿化土等。 </w:t>
      </w:r>
    </w:p>
    <w:p w14:paraId="2AB9F6C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（二）拆除垃圾和工程垃圾。</w:t>
      </w:r>
      <w:r>
        <w:rPr>
          <w:rFonts w:hint="eastAsia" w:ascii="仿宋_GB2312" w:hAnsi="仿宋_GB2312" w:eastAsia="仿宋_GB2312" w:cs="仿宋_GB2312"/>
          <w:sz w:val="32"/>
          <w:szCs w:val="32"/>
          <w:lang w:val="en-US" w:eastAsia="zh-CN"/>
        </w:rPr>
        <w:t>拆除垃圾和工程垃圾最主要的特征为产量可控，部分工程垃圾和拆除垃圾用于生产再生建材，而大部分直接用于回填，或经采用简单破碎设备破碎使用，资源化利用程度较低。通过集中建设的资源化利用设施，发挥规模化效应，提高设施、设备的规范性、环保性，对拆除垃圾和工程垃圾进行集中资源化利用。</w:t>
      </w:r>
    </w:p>
    <w:p w14:paraId="0B2F92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（三）装修垃圾。</w:t>
      </w:r>
      <w:r>
        <w:rPr>
          <w:rFonts w:hint="eastAsia" w:ascii="仿宋_GB2312" w:hAnsi="仿宋_GB2312" w:eastAsia="仿宋_GB2312" w:cs="仿宋_GB2312"/>
          <w:sz w:val="32"/>
          <w:szCs w:val="32"/>
          <w:lang w:val="en-US" w:eastAsia="zh-CN"/>
        </w:rPr>
        <w:t>装修垃圾为居民、店铺、办公装修过程产生，呈现产生源分散、且迁移频繁的特征，同时成分复杂，质量差，不可直接利用，需要进行分选。针对装修垃圾的特点，装 修垃圾资源化利用处理思路如下：（1）完善前端装修垃圾收集点设置，</w:t>
      </w:r>
      <w:r>
        <w:rPr>
          <w:rFonts w:hint="eastAsia" w:ascii="黑体" w:hAnsi="黑体" w:eastAsia="黑体" w:cs="黑体"/>
          <w:sz w:val="32"/>
          <w:szCs w:val="32"/>
          <w:highlight w:val="yellow"/>
          <w:lang w:val="en-US" w:eastAsia="zh-CN"/>
        </w:rPr>
        <w:t>各镇街道设置相对集中的临时堆放点，用于老旧小区、公共区域等不具备设置临时堆放点的装修垃圾的集中堆放。</w:t>
      </w:r>
      <w:r>
        <w:rPr>
          <w:rFonts w:hint="eastAsia" w:ascii="仿宋_GB2312" w:hAnsi="仿宋_GB2312" w:eastAsia="仿宋_GB2312" w:cs="仿宋_GB2312"/>
          <w:sz w:val="32"/>
          <w:szCs w:val="32"/>
          <w:lang w:val="en-US" w:eastAsia="zh-CN"/>
        </w:rPr>
        <w:t>（2）规划新增的建筑垃圾资源化利用设施，应具有装修垃圾处理能力，应用机械分选、智能分选等方式提高装修垃圾资源化利用水平减少填埋侵占土地。（3）对分拣后无法进行再利用的部分，设置规范的建筑垃圾填埋场进行处置。</w:t>
      </w:r>
    </w:p>
    <w:p w14:paraId="497655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工程渣土、装修垃圾、工程垃圾和拆迁垃圾，经分拣后具备资源化利用价值的成分，纳入资源化利用设施进一步资源化利用。具体建筑垃圾成分利用方法见表</w:t>
      </w:r>
    </w:p>
    <w:p w14:paraId="42CBEBF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表 4 建筑垃圾再生利用方法</w:t>
      </w:r>
    </w:p>
    <w:tbl>
      <w:tblPr>
        <w:tblStyle w:val="9"/>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5"/>
        <w:gridCol w:w="7066"/>
      </w:tblGrid>
      <w:tr w14:paraId="5F38F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tcPr>
          <w:p w14:paraId="62DCA98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垃圾成分</w:t>
            </w:r>
          </w:p>
        </w:tc>
        <w:tc>
          <w:tcPr>
            <w:tcW w:w="7066" w:type="dxa"/>
          </w:tcPr>
          <w:p w14:paraId="2A0FF15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再生利用方法</w:t>
            </w:r>
          </w:p>
        </w:tc>
      </w:tr>
      <w:tr w14:paraId="5876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tcPr>
          <w:p w14:paraId="1F2F6F7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渣土</w:t>
            </w:r>
          </w:p>
        </w:tc>
        <w:tc>
          <w:tcPr>
            <w:tcW w:w="7066" w:type="dxa"/>
          </w:tcPr>
          <w:p w14:paraId="3B196BE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堆山造景、回填、绿化</w:t>
            </w:r>
          </w:p>
        </w:tc>
      </w:tr>
      <w:tr w14:paraId="7806D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tcPr>
          <w:p w14:paraId="7467FD9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碎砖瓦</w:t>
            </w:r>
          </w:p>
        </w:tc>
        <w:tc>
          <w:tcPr>
            <w:tcW w:w="7066" w:type="dxa"/>
          </w:tcPr>
          <w:p w14:paraId="5E03860E">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砌块、墙体材料、路基垫层</w:t>
            </w:r>
          </w:p>
        </w:tc>
      </w:tr>
      <w:tr w14:paraId="70A5E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tcPr>
          <w:p w14:paraId="5CDFF34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混凝土块</w:t>
            </w:r>
          </w:p>
        </w:tc>
        <w:tc>
          <w:tcPr>
            <w:tcW w:w="7066" w:type="dxa"/>
          </w:tcPr>
          <w:p w14:paraId="54226B6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再生骨料、路基垫层、碎石桩、行道砖、砌 块</w:t>
            </w:r>
          </w:p>
        </w:tc>
      </w:tr>
      <w:tr w14:paraId="76F95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tcPr>
          <w:p w14:paraId="752CB94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砂浆</w:t>
            </w:r>
          </w:p>
        </w:tc>
        <w:tc>
          <w:tcPr>
            <w:tcW w:w="7066" w:type="dxa"/>
          </w:tcPr>
          <w:p w14:paraId="1507B58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 xml:space="preserve">砌块、填料  </w:t>
            </w:r>
          </w:p>
        </w:tc>
      </w:tr>
      <w:tr w14:paraId="7DD8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tcPr>
          <w:p w14:paraId="4C6DB08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钢材</w:t>
            </w:r>
          </w:p>
        </w:tc>
        <w:tc>
          <w:tcPr>
            <w:tcW w:w="7066" w:type="dxa"/>
          </w:tcPr>
          <w:p w14:paraId="3B5ADF9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再次使用、回炉</w:t>
            </w:r>
          </w:p>
        </w:tc>
      </w:tr>
      <w:tr w14:paraId="478A5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tcPr>
          <w:p w14:paraId="210F5964">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木材、纸板</w:t>
            </w:r>
          </w:p>
        </w:tc>
        <w:tc>
          <w:tcPr>
            <w:tcW w:w="7066" w:type="dxa"/>
          </w:tcPr>
          <w:p w14:paraId="20802CC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复合板材、燃烧发电</w:t>
            </w:r>
          </w:p>
        </w:tc>
      </w:tr>
      <w:tr w14:paraId="450AA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tcPr>
          <w:p w14:paraId="1156AF2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塑料</w:t>
            </w:r>
          </w:p>
        </w:tc>
        <w:tc>
          <w:tcPr>
            <w:tcW w:w="7066" w:type="dxa"/>
          </w:tcPr>
          <w:p w14:paraId="5FBCD82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粉碎、热分解</w:t>
            </w:r>
          </w:p>
        </w:tc>
      </w:tr>
      <w:tr w14:paraId="1B6A7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tcPr>
          <w:p w14:paraId="3C88E6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玻璃</w:t>
            </w:r>
          </w:p>
        </w:tc>
        <w:tc>
          <w:tcPr>
            <w:tcW w:w="7066" w:type="dxa"/>
          </w:tcPr>
          <w:p w14:paraId="26DA710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高温熔化、路基垫层</w:t>
            </w:r>
          </w:p>
        </w:tc>
      </w:tr>
      <w:tr w14:paraId="4FD2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tcPr>
          <w:p w14:paraId="25BBB02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其他</w:t>
            </w:r>
          </w:p>
        </w:tc>
        <w:tc>
          <w:tcPr>
            <w:tcW w:w="7066" w:type="dxa"/>
          </w:tcPr>
          <w:p w14:paraId="426C7BCF">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黑体" w:hAnsi="黑体" w:eastAsia="黑体" w:cs="黑体"/>
                <w:sz w:val="24"/>
                <w:szCs w:val="24"/>
                <w:vertAlign w:val="baseline"/>
                <w:lang w:val="en-US" w:eastAsia="zh-CN"/>
              </w:rPr>
            </w:pPr>
            <w:r>
              <w:rPr>
                <w:rFonts w:hint="eastAsia" w:ascii="黑体" w:hAnsi="黑体" w:eastAsia="黑体" w:cs="黑体"/>
                <w:sz w:val="24"/>
                <w:szCs w:val="24"/>
                <w:lang w:val="en-US" w:eastAsia="zh-CN"/>
              </w:rPr>
              <w:t>填埋、焚烧</w:t>
            </w:r>
          </w:p>
        </w:tc>
      </w:tr>
    </w:tbl>
    <w:p w14:paraId="0F16904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黑体" w:hAnsi="黑体" w:eastAsia="黑体" w:cs="黑体"/>
          <w:b w:val="0"/>
          <w:bCs/>
          <w:color w:val="000000"/>
          <w:sz w:val="32"/>
          <w:szCs w:val="32"/>
          <w:lang w:eastAsia="zh-CN"/>
        </w:rPr>
        <w:t>第十五条</w:t>
      </w:r>
      <w:r>
        <w:rPr>
          <w:rFonts w:hint="eastAsia" w:ascii="黑体" w:hAnsi="黑体" w:eastAsia="黑体" w:cs="黑体"/>
          <w:b w:val="0"/>
          <w:bCs/>
          <w:color w:val="000000"/>
          <w:sz w:val="32"/>
          <w:szCs w:val="32"/>
          <w:lang w:val="en-US" w:eastAsia="zh-CN"/>
        </w:rPr>
        <w:t xml:space="preserve"> </w:t>
      </w:r>
      <w:r>
        <w:rPr>
          <w:rFonts w:hint="eastAsia" w:ascii="黑体" w:hAnsi="黑体" w:eastAsia="黑体" w:cs="黑体"/>
          <w:b w:val="0"/>
          <w:bCs/>
          <w:color w:val="000000"/>
          <w:sz w:val="32"/>
          <w:szCs w:val="32"/>
        </w:rPr>
        <w:t xml:space="preserve">处理设施布局 </w:t>
      </w:r>
      <w:r>
        <w:rPr>
          <w:rFonts w:hint="eastAsia" w:ascii="仿宋_GB2312" w:hAnsi="仿宋_GB2312" w:eastAsia="仿宋_GB2312" w:cs="仿宋_GB2312"/>
          <w:sz w:val="32"/>
          <w:szCs w:val="32"/>
          <w:lang w:val="en-US" w:eastAsia="zh-CN"/>
        </w:rPr>
        <w:t>威海市建筑垃圾资源化利用企业现状如下：</w:t>
      </w:r>
      <w:r>
        <w:rPr>
          <w:rFonts w:hint="default" w:ascii="仿宋_GB2312" w:hAnsi="仿宋_GB2312" w:eastAsia="仿宋_GB2312" w:cs="仿宋_GB2312"/>
          <w:sz w:val="32"/>
          <w:szCs w:val="32"/>
          <w:lang w:val="en-US" w:eastAsia="zh-CN"/>
        </w:rPr>
        <w:t xml:space="preserve"> </w:t>
      </w:r>
    </w:p>
    <w:p w14:paraId="0E43BFE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表 5 资源化利用企业、消纳场所现状一览表</w:t>
      </w:r>
    </w:p>
    <w:tbl>
      <w:tblPr>
        <w:tblStyle w:val="9"/>
        <w:tblW w:w="9193" w:type="dxa"/>
        <w:tblInd w:w="-1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458"/>
        <w:gridCol w:w="820"/>
        <w:gridCol w:w="1416"/>
        <w:gridCol w:w="1505"/>
        <w:gridCol w:w="1586"/>
        <w:gridCol w:w="1573"/>
      </w:tblGrid>
      <w:tr w14:paraId="603C1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21C73663">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sz w:val="24"/>
                <w:szCs w:val="24"/>
                <w:highlight w:val="none"/>
                <w:vertAlign w:val="baseline"/>
                <w:lang w:val="en-US" w:eastAsia="zh-CN"/>
              </w:rPr>
            </w:pPr>
            <w:r>
              <w:rPr>
                <w:rFonts w:hint="eastAsia" w:ascii="黑体" w:hAnsi="黑体" w:eastAsia="黑体" w:cs="黑体"/>
                <w:b w:val="0"/>
                <w:bCs w:val="0"/>
                <w:sz w:val="24"/>
                <w:szCs w:val="24"/>
                <w:highlight w:val="none"/>
                <w:vertAlign w:val="baseline"/>
                <w:lang w:val="en-US" w:eastAsia="zh-CN"/>
              </w:rPr>
              <w:t>行政区域</w:t>
            </w:r>
          </w:p>
        </w:tc>
        <w:tc>
          <w:tcPr>
            <w:tcW w:w="1458" w:type="dxa"/>
            <w:vAlign w:val="center"/>
          </w:tcPr>
          <w:p w14:paraId="617B398F">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sz w:val="24"/>
                <w:szCs w:val="24"/>
                <w:highlight w:val="none"/>
                <w:vertAlign w:val="baseline"/>
                <w:lang w:val="en-US" w:eastAsia="zh-CN"/>
              </w:rPr>
            </w:pPr>
            <w:r>
              <w:rPr>
                <w:rFonts w:hint="eastAsia" w:ascii="黑体" w:hAnsi="黑体" w:eastAsia="黑体" w:cs="黑体"/>
                <w:b w:val="0"/>
                <w:bCs w:val="0"/>
                <w:sz w:val="24"/>
                <w:szCs w:val="24"/>
                <w:highlight w:val="none"/>
                <w:vertAlign w:val="baseline"/>
                <w:lang w:val="en-US" w:eastAsia="zh-CN"/>
              </w:rPr>
              <w:t>企业名称</w:t>
            </w:r>
          </w:p>
        </w:tc>
        <w:tc>
          <w:tcPr>
            <w:tcW w:w="820" w:type="dxa"/>
            <w:vAlign w:val="center"/>
          </w:tcPr>
          <w:p w14:paraId="1CC3157B">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sz w:val="24"/>
                <w:szCs w:val="24"/>
                <w:highlight w:val="none"/>
                <w:vertAlign w:val="baseline"/>
                <w:lang w:val="en-US" w:eastAsia="zh-CN"/>
              </w:rPr>
            </w:pPr>
            <w:r>
              <w:rPr>
                <w:rFonts w:hint="eastAsia" w:ascii="黑体" w:hAnsi="黑体" w:eastAsia="黑体" w:cs="黑体"/>
                <w:b w:val="0"/>
                <w:bCs w:val="0"/>
                <w:sz w:val="24"/>
                <w:szCs w:val="24"/>
                <w:highlight w:val="none"/>
                <w:vertAlign w:val="baseline"/>
                <w:lang w:val="en-US" w:eastAsia="zh-CN"/>
              </w:rPr>
              <w:t>占地面积</w:t>
            </w:r>
          </w:p>
        </w:tc>
        <w:tc>
          <w:tcPr>
            <w:tcW w:w="1416" w:type="dxa"/>
            <w:vAlign w:val="center"/>
          </w:tcPr>
          <w:p w14:paraId="6472BC0A">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sz w:val="24"/>
                <w:szCs w:val="24"/>
                <w:highlight w:val="none"/>
                <w:vertAlign w:val="baseline"/>
                <w:lang w:val="en-US" w:eastAsia="zh-CN"/>
              </w:rPr>
            </w:pPr>
            <w:r>
              <w:rPr>
                <w:rFonts w:hint="eastAsia" w:ascii="黑体" w:hAnsi="黑体" w:eastAsia="黑体" w:cs="黑体"/>
                <w:b w:val="0"/>
                <w:bCs w:val="0"/>
                <w:sz w:val="24"/>
                <w:szCs w:val="24"/>
                <w:highlight w:val="none"/>
                <w:vertAlign w:val="baseline"/>
                <w:lang w:val="en-US" w:eastAsia="zh-CN"/>
              </w:rPr>
              <w:t>生产源料</w:t>
            </w:r>
          </w:p>
        </w:tc>
        <w:tc>
          <w:tcPr>
            <w:tcW w:w="1505" w:type="dxa"/>
            <w:vAlign w:val="center"/>
          </w:tcPr>
          <w:p w14:paraId="3D240CC0">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sz w:val="24"/>
                <w:szCs w:val="24"/>
                <w:highlight w:val="none"/>
                <w:vertAlign w:val="baseline"/>
                <w:lang w:val="en-US" w:eastAsia="zh-CN"/>
              </w:rPr>
            </w:pPr>
            <w:r>
              <w:rPr>
                <w:rFonts w:hint="eastAsia" w:ascii="黑体" w:hAnsi="黑体" w:eastAsia="黑体" w:cs="黑体"/>
                <w:b w:val="0"/>
                <w:bCs w:val="0"/>
                <w:color w:val="000000"/>
                <w:sz w:val="24"/>
                <w:szCs w:val="24"/>
                <w:highlight w:val="none"/>
              </w:rPr>
              <w:t>处理量（万吨/年）</w:t>
            </w:r>
          </w:p>
        </w:tc>
        <w:tc>
          <w:tcPr>
            <w:tcW w:w="1586" w:type="dxa"/>
            <w:vAlign w:val="center"/>
          </w:tcPr>
          <w:p w14:paraId="1126850C">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color w:val="000000"/>
                <w:sz w:val="24"/>
                <w:szCs w:val="24"/>
                <w:highlight w:val="none"/>
                <w:lang w:eastAsia="zh-CN"/>
              </w:rPr>
            </w:pPr>
            <w:r>
              <w:rPr>
                <w:rFonts w:hint="eastAsia" w:ascii="黑体" w:hAnsi="黑体" w:eastAsia="黑体" w:cs="黑体"/>
                <w:b w:val="0"/>
                <w:bCs w:val="0"/>
                <w:color w:val="000000"/>
                <w:sz w:val="24"/>
                <w:szCs w:val="24"/>
                <w:highlight w:val="none"/>
                <w:lang w:eastAsia="zh-CN"/>
              </w:rPr>
              <w:t>辐射范围</w:t>
            </w:r>
          </w:p>
        </w:tc>
        <w:tc>
          <w:tcPr>
            <w:tcW w:w="1573" w:type="dxa"/>
            <w:vAlign w:val="center"/>
          </w:tcPr>
          <w:p w14:paraId="2D8D9AD2">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黑体" w:hAnsi="黑体" w:eastAsia="黑体" w:cs="黑体"/>
                <w:b w:val="0"/>
                <w:bCs w:val="0"/>
                <w:color w:val="000000"/>
                <w:sz w:val="24"/>
                <w:szCs w:val="24"/>
                <w:highlight w:val="none"/>
                <w:lang w:eastAsia="zh-CN"/>
              </w:rPr>
            </w:pPr>
            <w:r>
              <w:rPr>
                <w:rFonts w:hint="eastAsia" w:ascii="黑体" w:hAnsi="黑体" w:eastAsia="黑体" w:cs="黑体"/>
                <w:b w:val="0"/>
                <w:bCs w:val="0"/>
                <w:color w:val="000000"/>
                <w:sz w:val="24"/>
                <w:szCs w:val="24"/>
                <w:highlight w:val="none"/>
                <w:lang w:eastAsia="zh-CN"/>
              </w:rPr>
              <w:t>资源化利用或填埋</w:t>
            </w:r>
          </w:p>
        </w:tc>
      </w:tr>
      <w:tr w14:paraId="6937E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38CD9A03">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vertAlign w:val="baseline"/>
                <w:lang w:val="en-US" w:eastAsia="zh-CN"/>
              </w:rPr>
            </w:pPr>
            <w:r>
              <w:rPr>
                <w:rFonts w:hint="eastAsia" w:ascii="仿宋_GB2312" w:hAnsi="仿宋_GB2312" w:eastAsia="仿宋_GB2312" w:cs="仿宋_GB2312"/>
                <w:b w:val="0"/>
                <w:bCs w:val="0"/>
                <w:sz w:val="24"/>
                <w:szCs w:val="24"/>
                <w:highlight w:val="none"/>
                <w:vertAlign w:val="baseline"/>
                <w:lang w:val="en-US" w:eastAsia="zh-CN"/>
              </w:rPr>
              <w:t>临港</w:t>
            </w:r>
          </w:p>
        </w:tc>
        <w:tc>
          <w:tcPr>
            <w:tcW w:w="1458" w:type="dxa"/>
            <w:vAlign w:val="center"/>
          </w:tcPr>
          <w:p w14:paraId="57858C30">
            <w:pPr>
              <w:pStyle w:val="4"/>
              <w:keepNext/>
              <w:keepLines/>
              <w:pageBreakBefore w:val="0"/>
              <w:widowControl w:val="0"/>
              <w:numPr>
                <w:ilvl w:val="4"/>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sz w:val="24"/>
                <w:szCs w:val="24"/>
                <w:highlight w:val="none"/>
                <w:vertAlign w:val="baseline"/>
                <w:lang w:val="en-US" w:eastAsia="zh-CN"/>
              </w:rPr>
            </w:pPr>
            <w:r>
              <w:rPr>
                <w:rFonts w:hint="eastAsia" w:ascii="仿宋_GB2312" w:hAnsi="仿宋_GB2312" w:eastAsia="仿宋_GB2312" w:cs="仿宋_GB2312"/>
                <w:b w:val="0"/>
                <w:bCs w:val="0"/>
                <w:sz w:val="24"/>
                <w:szCs w:val="24"/>
                <w:highlight w:val="none"/>
                <w:vertAlign w:val="baseline"/>
                <w:lang w:val="en-US" w:eastAsia="zh-CN"/>
              </w:rPr>
              <w:t>威海绿志建材公司</w:t>
            </w:r>
          </w:p>
        </w:tc>
        <w:tc>
          <w:tcPr>
            <w:tcW w:w="820" w:type="dxa"/>
            <w:vAlign w:val="center"/>
          </w:tcPr>
          <w:p w14:paraId="172E7471">
            <w:pPr>
              <w:pStyle w:val="4"/>
              <w:keepNext/>
              <w:keepLines/>
              <w:pageBreakBefore w:val="0"/>
              <w:widowControl w:val="0"/>
              <w:numPr>
                <w:ilvl w:val="4"/>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8.9万平方米</w:t>
            </w:r>
          </w:p>
        </w:tc>
        <w:tc>
          <w:tcPr>
            <w:tcW w:w="1416" w:type="dxa"/>
            <w:vAlign w:val="center"/>
          </w:tcPr>
          <w:p w14:paraId="00980FE5">
            <w:pPr>
              <w:pStyle w:val="4"/>
              <w:keepNext/>
              <w:keepLines/>
              <w:pageBreakBefore w:val="0"/>
              <w:widowControl w:val="0"/>
              <w:numPr>
                <w:ilvl w:val="4"/>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建筑垃圾</w:t>
            </w:r>
          </w:p>
        </w:tc>
        <w:tc>
          <w:tcPr>
            <w:tcW w:w="1505" w:type="dxa"/>
            <w:vAlign w:val="center"/>
          </w:tcPr>
          <w:p w14:paraId="2213061E">
            <w:pPr>
              <w:pStyle w:val="4"/>
              <w:keepNext/>
              <w:keepLines/>
              <w:pageBreakBefore w:val="0"/>
              <w:widowControl w:val="0"/>
              <w:numPr>
                <w:ilvl w:val="4"/>
                <w:numId w:val="0"/>
              </w:numPr>
              <w:kinsoku/>
              <w:wordWrap/>
              <w:overflowPunct/>
              <w:topLinePunct w:val="0"/>
              <w:autoSpaceDE/>
              <w:autoSpaceDN/>
              <w:bidi w:val="0"/>
              <w:adjustRightInd/>
              <w:snapToGrid/>
              <w:spacing w:line="360" w:lineRule="exact"/>
              <w:ind w:left="0" w:leftChars="0" w:firstLine="0" w:firstLineChars="0"/>
              <w:jc w:val="center"/>
              <w:textAlignment w:val="auto"/>
              <w:rPr>
                <w:rFonts w:hint="eastAsia" w:ascii="仿宋_GB2312" w:hAnsi="仿宋_GB2312" w:eastAsia="仿宋_GB2312" w:cs="仿宋_GB2312"/>
                <w:b w:val="0"/>
                <w:bCs w:val="0"/>
                <w:sz w:val="24"/>
                <w:szCs w:val="24"/>
                <w:highlight w:val="none"/>
                <w:vertAlign w:val="baseline"/>
                <w:lang w:val="en-US" w:eastAsia="zh-CN"/>
              </w:rPr>
            </w:pPr>
            <w:r>
              <w:rPr>
                <w:rFonts w:hint="eastAsia" w:ascii="仿宋_GB2312" w:hAnsi="仿宋_GB2312" w:eastAsia="仿宋_GB2312" w:cs="仿宋_GB2312"/>
                <w:b w:val="0"/>
                <w:bCs w:val="0"/>
                <w:color w:val="000000"/>
                <w:sz w:val="24"/>
                <w:szCs w:val="24"/>
                <w:highlight w:val="none"/>
              </w:rPr>
              <w:t>100 万吨/年</w:t>
            </w:r>
          </w:p>
        </w:tc>
        <w:tc>
          <w:tcPr>
            <w:tcW w:w="1586" w:type="dxa"/>
            <w:vAlign w:val="center"/>
          </w:tcPr>
          <w:p w14:paraId="1F8426A9">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vertAlign w:val="baseline"/>
                <w:lang w:val="en-US" w:eastAsia="zh-CN"/>
              </w:rPr>
            </w:pPr>
            <w:r>
              <w:rPr>
                <w:rFonts w:hint="eastAsia" w:ascii="仿宋_GB2312" w:hAnsi="仿宋_GB2312" w:eastAsia="仿宋_GB2312" w:cs="仿宋_GB2312"/>
                <w:b w:val="0"/>
                <w:bCs w:val="0"/>
                <w:sz w:val="24"/>
                <w:szCs w:val="24"/>
                <w:highlight w:val="none"/>
                <w:vertAlign w:val="baseline"/>
                <w:lang w:val="en-US" w:eastAsia="zh-CN"/>
              </w:rPr>
              <w:t>环翠、高区、经区、临港区、文登</w:t>
            </w:r>
          </w:p>
        </w:tc>
        <w:tc>
          <w:tcPr>
            <w:tcW w:w="1573" w:type="dxa"/>
            <w:vAlign w:val="center"/>
          </w:tcPr>
          <w:p w14:paraId="4AB13240">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vertAlign w:val="baseline"/>
                <w:lang w:val="en-US" w:eastAsia="zh-CN"/>
              </w:rPr>
            </w:pPr>
            <w:r>
              <w:rPr>
                <w:rFonts w:hint="eastAsia" w:ascii="仿宋_GB2312" w:hAnsi="仿宋_GB2312" w:eastAsia="仿宋_GB2312" w:cs="仿宋_GB2312"/>
                <w:b w:val="0"/>
                <w:bCs w:val="0"/>
                <w:sz w:val="24"/>
                <w:szCs w:val="24"/>
                <w:highlight w:val="none"/>
                <w:vertAlign w:val="baseline"/>
                <w:lang w:val="en-US" w:eastAsia="zh-CN"/>
              </w:rPr>
              <w:t>资源化利用</w:t>
            </w:r>
          </w:p>
        </w:tc>
      </w:tr>
      <w:tr w14:paraId="2A94C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11363E0D">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vertAlign w:val="baseline"/>
                <w:lang w:val="en-US" w:eastAsia="zh-CN"/>
              </w:rPr>
            </w:pPr>
            <w:r>
              <w:rPr>
                <w:rFonts w:hint="eastAsia" w:ascii="仿宋_GB2312" w:hAnsi="仿宋_GB2312" w:eastAsia="仿宋_GB2312" w:cs="仿宋_GB2312"/>
                <w:b w:val="0"/>
                <w:bCs w:val="0"/>
                <w:color w:val="000000"/>
                <w:sz w:val="24"/>
                <w:szCs w:val="24"/>
                <w:highlight w:val="none"/>
              </w:rPr>
              <w:t>南海新区</w:t>
            </w:r>
          </w:p>
        </w:tc>
        <w:tc>
          <w:tcPr>
            <w:tcW w:w="1458" w:type="dxa"/>
            <w:vAlign w:val="center"/>
          </w:tcPr>
          <w:p w14:paraId="70111A78">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vertAlign w:val="baseline"/>
                <w:lang w:val="en-US" w:eastAsia="zh-CN"/>
              </w:rPr>
            </w:pPr>
            <w:r>
              <w:rPr>
                <w:rFonts w:hint="eastAsia" w:ascii="仿宋_GB2312" w:hAnsi="仿宋_GB2312" w:eastAsia="仿宋_GB2312" w:cs="仿宋_GB2312"/>
                <w:b w:val="0"/>
                <w:bCs w:val="0"/>
                <w:color w:val="000000"/>
                <w:sz w:val="24"/>
                <w:szCs w:val="24"/>
                <w:highlight w:val="none"/>
              </w:rPr>
              <w:t>千岩再生资源利用有限公</w:t>
            </w:r>
            <w:r>
              <w:rPr>
                <w:rFonts w:hint="eastAsia" w:ascii="仿宋_GB2312" w:hAnsi="仿宋_GB2312" w:eastAsia="仿宋_GB2312" w:cs="仿宋_GB2312"/>
                <w:b w:val="0"/>
                <w:bCs w:val="0"/>
                <w:color w:val="000000"/>
                <w:sz w:val="24"/>
                <w:szCs w:val="24"/>
                <w:highlight w:val="none"/>
                <w:lang w:eastAsia="zh-CN"/>
              </w:rPr>
              <w:t>司</w:t>
            </w:r>
          </w:p>
        </w:tc>
        <w:tc>
          <w:tcPr>
            <w:tcW w:w="820" w:type="dxa"/>
            <w:vAlign w:val="center"/>
          </w:tcPr>
          <w:p w14:paraId="4B56D0EB">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vertAlign w:val="baseline"/>
                <w:lang w:val="en-US" w:eastAsia="zh-CN"/>
              </w:rPr>
            </w:pPr>
          </w:p>
        </w:tc>
        <w:tc>
          <w:tcPr>
            <w:tcW w:w="1416" w:type="dxa"/>
            <w:vAlign w:val="center"/>
          </w:tcPr>
          <w:p w14:paraId="4FFCFF58">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vertAlign w:val="baseline"/>
                <w:lang w:val="en-US" w:eastAsia="zh-CN"/>
              </w:rPr>
            </w:pPr>
            <w:r>
              <w:rPr>
                <w:rFonts w:hint="eastAsia" w:ascii="仿宋_GB2312" w:hAnsi="仿宋_GB2312" w:eastAsia="仿宋_GB2312" w:cs="仿宋_GB2312"/>
                <w:b w:val="0"/>
                <w:bCs w:val="0"/>
                <w:sz w:val="24"/>
                <w:szCs w:val="24"/>
                <w:highlight w:val="none"/>
                <w:vertAlign w:val="baseline"/>
                <w:lang w:val="en-US" w:eastAsia="zh-CN"/>
              </w:rPr>
              <w:t>建筑垃圾</w:t>
            </w:r>
          </w:p>
        </w:tc>
        <w:tc>
          <w:tcPr>
            <w:tcW w:w="1505" w:type="dxa"/>
            <w:vAlign w:val="center"/>
          </w:tcPr>
          <w:p w14:paraId="4088A75F">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vertAlign w:val="baseline"/>
                <w:lang w:val="en-US" w:eastAsia="zh-CN"/>
              </w:rPr>
            </w:pPr>
            <w:r>
              <w:rPr>
                <w:rFonts w:hint="eastAsia" w:ascii="仿宋_GB2312" w:hAnsi="仿宋_GB2312" w:eastAsia="仿宋_GB2312" w:cs="仿宋_GB2312"/>
                <w:b w:val="0"/>
                <w:bCs w:val="0"/>
                <w:color w:val="000000"/>
                <w:sz w:val="24"/>
                <w:szCs w:val="24"/>
                <w:highlight w:val="none"/>
              </w:rPr>
              <w:t>规模</w:t>
            </w:r>
            <w:r>
              <w:rPr>
                <w:rFonts w:hint="eastAsia" w:ascii="仿宋_GB2312" w:hAnsi="仿宋_GB2312" w:eastAsia="仿宋_GB2312" w:cs="仿宋_GB2312"/>
                <w:b w:val="0"/>
                <w:bCs w:val="0"/>
                <w:color w:val="000000"/>
                <w:sz w:val="24"/>
                <w:szCs w:val="24"/>
                <w:highlight w:val="none"/>
                <w:lang w:val="en-US" w:eastAsia="zh-CN"/>
              </w:rPr>
              <w:t>73万</w:t>
            </w:r>
            <w:r>
              <w:rPr>
                <w:rFonts w:hint="eastAsia" w:ascii="仿宋_GB2312" w:hAnsi="仿宋_GB2312" w:eastAsia="仿宋_GB2312" w:cs="仿宋_GB2312"/>
                <w:b w:val="0"/>
                <w:bCs w:val="0"/>
                <w:color w:val="000000"/>
                <w:sz w:val="24"/>
                <w:szCs w:val="24"/>
                <w:highlight w:val="none"/>
              </w:rPr>
              <w:t>吨/</w:t>
            </w:r>
            <w:r>
              <w:rPr>
                <w:rFonts w:hint="eastAsia" w:ascii="仿宋_GB2312" w:hAnsi="仿宋_GB2312" w:eastAsia="仿宋_GB2312" w:cs="仿宋_GB2312"/>
                <w:b w:val="0"/>
                <w:bCs w:val="0"/>
                <w:color w:val="000000"/>
                <w:sz w:val="24"/>
                <w:szCs w:val="24"/>
                <w:highlight w:val="none"/>
                <w:lang w:eastAsia="zh-CN"/>
              </w:rPr>
              <w:t>年</w:t>
            </w:r>
          </w:p>
        </w:tc>
        <w:tc>
          <w:tcPr>
            <w:tcW w:w="1586" w:type="dxa"/>
            <w:vAlign w:val="center"/>
          </w:tcPr>
          <w:p w14:paraId="470945AA">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vertAlign w:val="baseline"/>
                <w:lang w:val="en-US" w:eastAsia="zh-CN"/>
              </w:rPr>
            </w:pPr>
            <w:r>
              <w:rPr>
                <w:rFonts w:hint="eastAsia" w:ascii="仿宋_GB2312" w:hAnsi="仿宋_GB2312" w:eastAsia="仿宋_GB2312" w:cs="仿宋_GB2312"/>
                <w:b w:val="0"/>
                <w:bCs w:val="0"/>
                <w:sz w:val="24"/>
                <w:szCs w:val="24"/>
                <w:highlight w:val="none"/>
                <w:vertAlign w:val="baseline"/>
                <w:lang w:val="en-US" w:eastAsia="zh-CN"/>
              </w:rPr>
              <w:t>南海、文登</w:t>
            </w:r>
          </w:p>
        </w:tc>
        <w:tc>
          <w:tcPr>
            <w:tcW w:w="1573" w:type="dxa"/>
            <w:vAlign w:val="center"/>
          </w:tcPr>
          <w:p w14:paraId="0FA5710A">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sz w:val="24"/>
                <w:szCs w:val="24"/>
                <w:highlight w:val="none"/>
                <w:vertAlign w:val="baseline"/>
                <w:lang w:val="en-US" w:eastAsia="zh-CN"/>
              </w:rPr>
            </w:pPr>
            <w:r>
              <w:rPr>
                <w:rFonts w:hint="eastAsia" w:ascii="仿宋_GB2312" w:hAnsi="仿宋_GB2312" w:eastAsia="仿宋_GB2312" w:cs="仿宋_GB2312"/>
                <w:b w:val="0"/>
                <w:bCs w:val="0"/>
                <w:sz w:val="24"/>
                <w:szCs w:val="24"/>
                <w:highlight w:val="none"/>
                <w:vertAlign w:val="baseline"/>
                <w:lang w:val="en-US" w:eastAsia="zh-CN"/>
              </w:rPr>
              <w:t>资源化利用</w:t>
            </w:r>
          </w:p>
        </w:tc>
      </w:tr>
      <w:tr w14:paraId="0158E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2AFBED9B">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sz w:val="24"/>
                <w:szCs w:val="24"/>
                <w:highlight w:val="none"/>
                <w:lang w:eastAsia="zh-CN"/>
              </w:rPr>
              <w:t>荣成市</w:t>
            </w:r>
          </w:p>
        </w:tc>
        <w:tc>
          <w:tcPr>
            <w:tcW w:w="1458" w:type="dxa"/>
            <w:vAlign w:val="top"/>
          </w:tcPr>
          <w:p w14:paraId="665D92BF">
            <w:pPr>
              <w:pStyle w:val="4"/>
              <w:keepNext/>
              <w:keepLines/>
              <w:pageBreakBefore w:val="0"/>
              <w:widowControl w:val="0"/>
              <w:numPr>
                <w:ilvl w:val="4"/>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威海正合建材有限公司</w:t>
            </w:r>
          </w:p>
        </w:tc>
        <w:tc>
          <w:tcPr>
            <w:tcW w:w="820" w:type="dxa"/>
            <w:vAlign w:val="top"/>
          </w:tcPr>
          <w:p w14:paraId="4630EEF2">
            <w:pPr>
              <w:pStyle w:val="4"/>
              <w:keepNext/>
              <w:keepLines/>
              <w:pageBreakBefore w:val="0"/>
              <w:widowControl w:val="0"/>
              <w:numPr>
                <w:ilvl w:val="4"/>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18亩</w:t>
            </w:r>
          </w:p>
        </w:tc>
        <w:tc>
          <w:tcPr>
            <w:tcW w:w="1416" w:type="dxa"/>
            <w:vAlign w:val="top"/>
          </w:tcPr>
          <w:p w14:paraId="745E02A8">
            <w:pPr>
              <w:pStyle w:val="4"/>
              <w:keepNext/>
              <w:keepLines/>
              <w:pageBreakBefore w:val="0"/>
              <w:widowControl w:val="0"/>
              <w:numPr>
                <w:ilvl w:val="4"/>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建筑垃圾、废弃石渣</w:t>
            </w:r>
          </w:p>
        </w:tc>
        <w:tc>
          <w:tcPr>
            <w:tcW w:w="1505" w:type="dxa"/>
            <w:vAlign w:val="top"/>
          </w:tcPr>
          <w:p w14:paraId="0F6200A2">
            <w:pPr>
              <w:pStyle w:val="4"/>
              <w:keepNext/>
              <w:keepLines/>
              <w:pageBreakBefore w:val="0"/>
              <w:widowControl w:val="0"/>
              <w:numPr>
                <w:ilvl w:val="4"/>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规模150万吨</w:t>
            </w:r>
          </w:p>
        </w:tc>
        <w:tc>
          <w:tcPr>
            <w:tcW w:w="1586" w:type="dxa"/>
            <w:vAlign w:val="top"/>
          </w:tcPr>
          <w:p w14:paraId="0E8D26D0">
            <w:pPr>
              <w:pStyle w:val="4"/>
              <w:keepNext/>
              <w:keepLines/>
              <w:pageBreakBefore w:val="0"/>
              <w:widowControl w:val="0"/>
              <w:numPr>
                <w:ilvl w:val="4"/>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崖头城区以北</w:t>
            </w:r>
          </w:p>
        </w:tc>
        <w:tc>
          <w:tcPr>
            <w:tcW w:w="1573" w:type="dxa"/>
            <w:vAlign w:val="top"/>
          </w:tcPr>
          <w:p w14:paraId="6E01BDF8">
            <w:pPr>
              <w:pStyle w:val="4"/>
              <w:keepNext/>
              <w:keepLines/>
              <w:pageBreakBefore w:val="0"/>
              <w:widowControl w:val="0"/>
              <w:numPr>
                <w:ilvl w:val="4"/>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color w:val="000000"/>
                <w:sz w:val="24"/>
                <w:szCs w:val="24"/>
                <w:highlight w:val="none"/>
                <w:lang w:eastAsia="zh-CN"/>
              </w:rPr>
              <w:t>资源化利用</w:t>
            </w:r>
          </w:p>
        </w:tc>
      </w:tr>
      <w:tr w14:paraId="0723B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4887B666">
            <w:pPr>
              <w:pStyle w:val="4"/>
              <w:keepNext/>
              <w:keepLines/>
              <w:pageBreakBefore w:val="0"/>
              <w:widowControl w:val="0"/>
              <w:numPr>
                <w:ilvl w:val="4"/>
                <w:numId w:val="0"/>
              </w:numPr>
              <w:kinsoku/>
              <w:wordWrap/>
              <w:overflowPunct/>
              <w:topLinePunct w:val="0"/>
              <w:autoSpaceDE/>
              <w:autoSpaceDN/>
              <w:bidi w:val="0"/>
              <w:adjustRightInd/>
              <w:snapToGrid/>
              <w:spacing w:line="360" w:lineRule="exact"/>
              <w:jc w:val="center"/>
              <w:textAlignment w:val="auto"/>
              <w:rPr>
                <w:rFonts w:hint="eastAsia" w:ascii="仿宋_GB2312" w:hAnsi="仿宋_GB2312" w:eastAsia="仿宋_GB2312" w:cs="仿宋_GB2312"/>
                <w:b w:val="0"/>
                <w:bCs w:val="0"/>
                <w:color w:val="000000"/>
                <w:sz w:val="24"/>
                <w:szCs w:val="24"/>
                <w:highlight w:val="none"/>
                <w:lang w:eastAsia="zh-CN"/>
              </w:rPr>
            </w:pPr>
            <w:r>
              <w:rPr>
                <w:rFonts w:hint="eastAsia" w:ascii="仿宋_GB2312" w:hAnsi="仿宋_GB2312" w:eastAsia="仿宋_GB2312" w:cs="仿宋_GB2312"/>
                <w:b w:val="0"/>
                <w:bCs w:val="0"/>
                <w:color w:val="000000"/>
                <w:sz w:val="24"/>
                <w:szCs w:val="24"/>
                <w:highlight w:val="none"/>
                <w:lang w:eastAsia="zh-CN"/>
              </w:rPr>
              <w:t>荣成市</w:t>
            </w:r>
          </w:p>
        </w:tc>
        <w:tc>
          <w:tcPr>
            <w:tcW w:w="1458" w:type="dxa"/>
            <w:vAlign w:val="top"/>
          </w:tcPr>
          <w:p w14:paraId="20C5133C">
            <w:pPr>
              <w:pStyle w:val="4"/>
              <w:keepNext/>
              <w:keepLines/>
              <w:pageBreakBefore w:val="0"/>
              <w:widowControl w:val="0"/>
              <w:numPr>
                <w:ilvl w:val="4"/>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荣成市顺达建材有限公司</w:t>
            </w:r>
          </w:p>
        </w:tc>
        <w:tc>
          <w:tcPr>
            <w:tcW w:w="820" w:type="dxa"/>
            <w:vAlign w:val="top"/>
          </w:tcPr>
          <w:p w14:paraId="65E7DA11">
            <w:pPr>
              <w:pStyle w:val="4"/>
              <w:keepNext/>
              <w:keepLines/>
              <w:pageBreakBefore w:val="0"/>
              <w:widowControl w:val="0"/>
              <w:numPr>
                <w:ilvl w:val="4"/>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122亩</w:t>
            </w:r>
          </w:p>
        </w:tc>
        <w:tc>
          <w:tcPr>
            <w:tcW w:w="1416" w:type="dxa"/>
            <w:vAlign w:val="top"/>
          </w:tcPr>
          <w:p w14:paraId="2ADB9926">
            <w:pPr>
              <w:pStyle w:val="4"/>
              <w:keepNext/>
              <w:keepLines/>
              <w:pageBreakBefore w:val="0"/>
              <w:widowControl w:val="0"/>
              <w:numPr>
                <w:ilvl w:val="4"/>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矿山废弃尾矿、建筑垃圾</w:t>
            </w:r>
          </w:p>
        </w:tc>
        <w:tc>
          <w:tcPr>
            <w:tcW w:w="1505" w:type="dxa"/>
            <w:vAlign w:val="top"/>
          </w:tcPr>
          <w:p w14:paraId="03AC0939">
            <w:pPr>
              <w:pStyle w:val="4"/>
              <w:keepNext/>
              <w:keepLines/>
              <w:pageBreakBefore w:val="0"/>
              <w:widowControl w:val="0"/>
              <w:numPr>
                <w:ilvl w:val="4"/>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规模100万</w:t>
            </w:r>
          </w:p>
        </w:tc>
        <w:tc>
          <w:tcPr>
            <w:tcW w:w="1586" w:type="dxa"/>
            <w:vAlign w:val="top"/>
          </w:tcPr>
          <w:p w14:paraId="11206D91">
            <w:pPr>
              <w:pStyle w:val="4"/>
              <w:keepNext/>
              <w:keepLines/>
              <w:pageBreakBefore w:val="0"/>
              <w:widowControl w:val="0"/>
              <w:numPr>
                <w:ilvl w:val="4"/>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崖头城区以南</w:t>
            </w:r>
          </w:p>
        </w:tc>
        <w:tc>
          <w:tcPr>
            <w:tcW w:w="1573" w:type="dxa"/>
            <w:vAlign w:val="top"/>
          </w:tcPr>
          <w:p w14:paraId="06BD8A21">
            <w:pPr>
              <w:pStyle w:val="4"/>
              <w:keepNext/>
              <w:keepLines/>
              <w:pageBreakBefore w:val="0"/>
              <w:widowControl w:val="0"/>
              <w:numPr>
                <w:ilvl w:val="4"/>
                <w:numId w:val="0"/>
              </w:numPr>
              <w:kinsoku/>
              <w:wordWrap/>
              <w:overflowPunct/>
              <w:topLinePunct w:val="0"/>
              <w:autoSpaceDE/>
              <w:autoSpaceDN/>
              <w:bidi w:val="0"/>
              <w:adjustRightInd/>
              <w:snapToGrid/>
              <w:spacing w:line="360" w:lineRule="exact"/>
              <w:ind w:left="0" w:leftChars="0" w:firstLine="0" w:firstLineChars="0"/>
              <w:textAlignment w:val="auto"/>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资源化利用</w:t>
            </w:r>
          </w:p>
        </w:tc>
      </w:tr>
    </w:tbl>
    <w:p w14:paraId="60DE6D1A">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结合各建筑垃圾资源化利用企业现状，建筑垃圾资源化利用项目分别设置于临港区、南海，厂址与周边居民的距离大于500m，交通便利，可满足建筑垃圾处理需求，同时符合威海市国土空间规划的要求，实现建筑垃圾变废为宝、循环利用，综合优势明显，建设条件优越。</w:t>
      </w:r>
    </w:p>
    <w:p w14:paraId="246BE8C8">
      <w:pPr>
        <w:rPr>
          <w:rFonts w:hint="eastAsia"/>
          <w:highlight w:val="none"/>
          <w:lang w:val="en-US" w:eastAsia="zh-CN"/>
        </w:rPr>
      </w:pPr>
    </w:p>
    <w:p w14:paraId="135880AA">
      <w:pPr>
        <w:pStyle w:val="2"/>
        <w:rPr>
          <w:rFonts w:hint="eastAsia"/>
          <w:highlight w:val="none"/>
          <w:lang w:val="en-US" w:eastAsia="zh-CN"/>
        </w:rPr>
      </w:pPr>
    </w:p>
    <w:p w14:paraId="4E213E53">
      <w:pPr>
        <w:pStyle w:val="3"/>
        <w:rPr>
          <w:rFonts w:hint="eastAsia"/>
          <w:highlight w:val="none"/>
          <w:lang w:val="en-US" w:eastAsia="zh-CN"/>
        </w:rPr>
      </w:pPr>
    </w:p>
    <w:p w14:paraId="5E393CA7">
      <w:pPr>
        <w:rPr>
          <w:rFonts w:hint="eastAsia"/>
          <w:lang w:val="en-US" w:eastAsia="zh-CN"/>
        </w:rPr>
      </w:pPr>
    </w:p>
    <w:p w14:paraId="04FA080A">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表6 各区市（各镇街）现有建筑垃圾收集点、转运调配场一览表（请各区市填报）</w:t>
      </w:r>
    </w:p>
    <w:tbl>
      <w:tblPr>
        <w:tblStyle w:val="9"/>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1505"/>
        <w:gridCol w:w="1505"/>
        <w:gridCol w:w="1505"/>
        <w:gridCol w:w="1505"/>
        <w:gridCol w:w="1506"/>
      </w:tblGrid>
      <w:tr w14:paraId="663C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tcPr>
          <w:p w14:paraId="12BF6310">
            <w:pPr>
              <w:pStyle w:val="4"/>
              <w:keepNext/>
              <w:keepLines/>
              <w:pageBreakBefore w:val="0"/>
              <w:widowControl w:val="0"/>
              <w:numPr>
                <w:ilvl w:val="4"/>
                <w:numId w:val="0"/>
              </w:numPr>
              <w:kinsoku/>
              <w:wordWrap/>
              <w:overflowPunct/>
              <w:topLinePunct w:val="0"/>
              <w:autoSpaceDE/>
              <w:autoSpaceDN/>
              <w:bidi w:val="0"/>
              <w:adjustRightInd/>
              <w:snapToGrid/>
              <w:spacing w:line="500" w:lineRule="exact"/>
              <w:jc w:val="center"/>
              <w:textAlignment w:val="auto"/>
              <w:rPr>
                <w:rFonts w:hint="eastAsia" w:ascii="黑体" w:hAnsi="黑体" w:eastAsia="黑体" w:cs="黑体"/>
                <w:b w:val="0"/>
                <w:bCs w:val="0"/>
                <w:sz w:val="24"/>
                <w:szCs w:val="24"/>
                <w:highlight w:val="none"/>
                <w:vertAlign w:val="baseline"/>
                <w:lang w:val="en-US" w:eastAsia="zh-CN"/>
              </w:rPr>
            </w:pPr>
            <w:r>
              <w:rPr>
                <w:rFonts w:hint="eastAsia" w:ascii="黑体" w:hAnsi="黑体" w:eastAsia="黑体" w:cs="黑体"/>
                <w:b w:val="0"/>
                <w:bCs w:val="0"/>
                <w:sz w:val="24"/>
                <w:szCs w:val="24"/>
                <w:highlight w:val="none"/>
                <w:vertAlign w:val="baseline"/>
                <w:lang w:val="en-US" w:eastAsia="zh-CN"/>
              </w:rPr>
              <w:t>区（镇街）</w:t>
            </w:r>
          </w:p>
        </w:tc>
        <w:tc>
          <w:tcPr>
            <w:tcW w:w="1505" w:type="dxa"/>
          </w:tcPr>
          <w:p w14:paraId="0ADCBF06">
            <w:pPr>
              <w:pStyle w:val="4"/>
              <w:keepNext/>
              <w:keepLines/>
              <w:pageBreakBefore w:val="0"/>
              <w:widowControl w:val="0"/>
              <w:numPr>
                <w:ilvl w:val="4"/>
                <w:numId w:val="0"/>
              </w:numPr>
              <w:kinsoku/>
              <w:wordWrap/>
              <w:overflowPunct/>
              <w:topLinePunct w:val="0"/>
              <w:autoSpaceDE/>
              <w:autoSpaceDN/>
              <w:bidi w:val="0"/>
              <w:adjustRightInd/>
              <w:snapToGrid/>
              <w:spacing w:line="500" w:lineRule="exact"/>
              <w:jc w:val="center"/>
              <w:textAlignment w:val="auto"/>
              <w:rPr>
                <w:rFonts w:hint="eastAsia" w:ascii="黑体" w:hAnsi="黑体" w:eastAsia="黑体" w:cs="黑体"/>
                <w:b w:val="0"/>
                <w:bCs w:val="0"/>
                <w:sz w:val="24"/>
                <w:szCs w:val="24"/>
                <w:highlight w:val="none"/>
                <w:vertAlign w:val="baseline"/>
                <w:lang w:val="en-US" w:eastAsia="zh-CN"/>
              </w:rPr>
            </w:pPr>
            <w:r>
              <w:rPr>
                <w:rFonts w:hint="eastAsia" w:ascii="黑体" w:hAnsi="黑体" w:eastAsia="黑体" w:cs="黑体"/>
                <w:b w:val="0"/>
                <w:bCs w:val="0"/>
                <w:sz w:val="24"/>
                <w:szCs w:val="24"/>
                <w:highlight w:val="none"/>
                <w:vertAlign w:val="baseline"/>
                <w:lang w:val="en-US" w:eastAsia="zh-CN"/>
              </w:rPr>
              <w:t>服务区域</w:t>
            </w:r>
          </w:p>
        </w:tc>
        <w:tc>
          <w:tcPr>
            <w:tcW w:w="1505" w:type="dxa"/>
          </w:tcPr>
          <w:p w14:paraId="22B0C4F2">
            <w:pPr>
              <w:pStyle w:val="4"/>
              <w:keepNext/>
              <w:keepLines/>
              <w:pageBreakBefore w:val="0"/>
              <w:widowControl w:val="0"/>
              <w:numPr>
                <w:ilvl w:val="4"/>
                <w:numId w:val="0"/>
              </w:numPr>
              <w:kinsoku/>
              <w:wordWrap/>
              <w:overflowPunct/>
              <w:topLinePunct w:val="0"/>
              <w:autoSpaceDE/>
              <w:autoSpaceDN/>
              <w:bidi w:val="0"/>
              <w:adjustRightInd/>
              <w:snapToGrid/>
              <w:spacing w:line="500" w:lineRule="exact"/>
              <w:jc w:val="center"/>
              <w:textAlignment w:val="auto"/>
              <w:rPr>
                <w:rFonts w:hint="eastAsia" w:ascii="黑体" w:hAnsi="黑体" w:eastAsia="黑体" w:cs="黑体"/>
                <w:b w:val="0"/>
                <w:bCs w:val="0"/>
                <w:sz w:val="24"/>
                <w:szCs w:val="24"/>
                <w:highlight w:val="none"/>
                <w:vertAlign w:val="baseline"/>
                <w:lang w:val="en-US" w:eastAsia="zh-CN"/>
              </w:rPr>
            </w:pPr>
            <w:r>
              <w:rPr>
                <w:rFonts w:hint="eastAsia" w:ascii="黑体" w:hAnsi="黑体" w:eastAsia="黑体" w:cs="黑体"/>
                <w:b w:val="0"/>
                <w:bCs w:val="0"/>
                <w:sz w:val="24"/>
                <w:szCs w:val="24"/>
                <w:highlight w:val="none"/>
                <w:vertAlign w:val="baseline"/>
                <w:lang w:val="en-US" w:eastAsia="zh-CN"/>
              </w:rPr>
              <w:t>设施名称</w:t>
            </w:r>
          </w:p>
        </w:tc>
        <w:tc>
          <w:tcPr>
            <w:tcW w:w="1505" w:type="dxa"/>
          </w:tcPr>
          <w:p w14:paraId="0F2C2372">
            <w:pPr>
              <w:pStyle w:val="4"/>
              <w:keepNext/>
              <w:keepLines/>
              <w:pageBreakBefore w:val="0"/>
              <w:widowControl w:val="0"/>
              <w:numPr>
                <w:ilvl w:val="4"/>
                <w:numId w:val="0"/>
              </w:numPr>
              <w:kinsoku/>
              <w:wordWrap/>
              <w:overflowPunct/>
              <w:topLinePunct w:val="0"/>
              <w:autoSpaceDE/>
              <w:autoSpaceDN/>
              <w:bidi w:val="0"/>
              <w:adjustRightInd/>
              <w:snapToGrid/>
              <w:spacing w:line="500" w:lineRule="exact"/>
              <w:jc w:val="center"/>
              <w:textAlignment w:val="auto"/>
              <w:rPr>
                <w:rFonts w:hint="eastAsia" w:ascii="黑体" w:hAnsi="黑体" w:eastAsia="黑体" w:cs="黑体"/>
                <w:b w:val="0"/>
                <w:bCs w:val="0"/>
                <w:sz w:val="24"/>
                <w:szCs w:val="24"/>
                <w:highlight w:val="none"/>
                <w:vertAlign w:val="baseline"/>
                <w:lang w:val="en-US" w:eastAsia="zh-CN"/>
              </w:rPr>
            </w:pPr>
            <w:r>
              <w:rPr>
                <w:rFonts w:hint="eastAsia" w:ascii="黑体" w:hAnsi="黑体" w:eastAsia="黑体" w:cs="黑体"/>
                <w:b w:val="0"/>
                <w:bCs w:val="0"/>
                <w:sz w:val="24"/>
                <w:szCs w:val="24"/>
                <w:highlight w:val="none"/>
                <w:vertAlign w:val="baseline"/>
                <w:lang w:val="en-US" w:eastAsia="zh-CN"/>
              </w:rPr>
              <w:t>规模 （万吨/年）</w:t>
            </w:r>
          </w:p>
        </w:tc>
        <w:tc>
          <w:tcPr>
            <w:tcW w:w="1505" w:type="dxa"/>
          </w:tcPr>
          <w:p w14:paraId="18A781EA">
            <w:pPr>
              <w:pStyle w:val="4"/>
              <w:keepNext/>
              <w:keepLines/>
              <w:pageBreakBefore w:val="0"/>
              <w:widowControl w:val="0"/>
              <w:numPr>
                <w:ilvl w:val="4"/>
                <w:numId w:val="0"/>
              </w:numPr>
              <w:kinsoku/>
              <w:wordWrap/>
              <w:overflowPunct/>
              <w:topLinePunct w:val="0"/>
              <w:autoSpaceDE/>
              <w:autoSpaceDN/>
              <w:bidi w:val="0"/>
              <w:adjustRightInd/>
              <w:snapToGrid/>
              <w:spacing w:line="500" w:lineRule="exact"/>
              <w:jc w:val="center"/>
              <w:textAlignment w:val="auto"/>
              <w:rPr>
                <w:rFonts w:hint="eastAsia" w:ascii="黑体" w:hAnsi="黑体" w:eastAsia="黑体" w:cs="黑体"/>
                <w:b w:val="0"/>
                <w:bCs w:val="0"/>
                <w:sz w:val="24"/>
                <w:szCs w:val="24"/>
                <w:highlight w:val="none"/>
                <w:vertAlign w:val="baseline"/>
                <w:lang w:val="en-US" w:eastAsia="zh-CN"/>
              </w:rPr>
            </w:pPr>
            <w:r>
              <w:rPr>
                <w:rFonts w:hint="eastAsia" w:ascii="黑体" w:hAnsi="黑体" w:eastAsia="黑体" w:cs="黑体"/>
                <w:b w:val="0"/>
                <w:bCs w:val="0"/>
                <w:sz w:val="24"/>
                <w:szCs w:val="24"/>
                <w:highlight w:val="none"/>
                <w:vertAlign w:val="baseline"/>
                <w:lang w:val="en-US" w:eastAsia="zh-CN"/>
              </w:rPr>
              <w:t>占地规模 （㎡）</w:t>
            </w:r>
          </w:p>
        </w:tc>
        <w:tc>
          <w:tcPr>
            <w:tcW w:w="1506" w:type="dxa"/>
          </w:tcPr>
          <w:p w14:paraId="4C23A655">
            <w:pPr>
              <w:pStyle w:val="4"/>
              <w:keepNext/>
              <w:keepLines/>
              <w:pageBreakBefore w:val="0"/>
              <w:widowControl w:val="0"/>
              <w:numPr>
                <w:ilvl w:val="4"/>
                <w:numId w:val="0"/>
              </w:numPr>
              <w:kinsoku/>
              <w:wordWrap/>
              <w:overflowPunct/>
              <w:topLinePunct w:val="0"/>
              <w:autoSpaceDE/>
              <w:autoSpaceDN/>
              <w:bidi w:val="0"/>
              <w:adjustRightInd/>
              <w:snapToGrid/>
              <w:spacing w:line="500" w:lineRule="exact"/>
              <w:jc w:val="center"/>
              <w:textAlignment w:val="auto"/>
              <w:rPr>
                <w:rFonts w:hint="eastAsia" w:ascii="黑体" w:hAnsi="黑体" w:eastAsia="黑体" w:cs="黑体"/>
                <w:b w:val="0"/>
                <w:bCs w:val="0"/>
                <w:sz w:val="24"/>
                <w:szCs w:val="24"/>
                <w:highlight w:val="none"/>
                <w:vertAlign w:val="baseline"/>
                <w:lang w:val="en-US" w:eastAsia="zh-CN"/>
              </w:rPr>
            </w:pPr>
            <w:r>
              <w:rPr>
                <w:rFonts w:hint="eastAsia" w:ascii="黑体" w:hAnsi="黑体" w:eastAsia="黑体" w:cs="黑体"/>
                <w:b w:val="0"/>
                <w:bCs w:val="0"/>
                <w:sz w:val="24"/>
                <w:szCs w:val="24"/>
                <w:highlight w:val="none"/>
                <w:vertAlign w:val="baseline"/>
                <w:lang w:val="en-US" w:eastAsia="zh-CN"/>
              </w:rPr>
              <w:t>备注（收集点或调配场）</w:t>
            </w:r>
          </w:p>
        </w:tc>
      </w:tr>
      <w:tr w14:paraId="62FED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Align w:val="top"/>
          </w:tcPr>
          <w:p w14:paraId="77BB9F5F">
            <w:pPr>
              <w:pStyle w:val="4"/>
              <w:numPr>
                <w:ilvl w:val="4"/>
                <w:numId w:val="0"/>
              </w:numPr>
              <w:ind w:left="0" w:leftChars="0" w:firstLine="0" w:firstLineChars="0"/>
              <w:jc w:val="center"/>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崖子镇</w:t>
            </w:r>
          </w:p>
        </w:tc>
        <w:tc>
          <w:tcPr>
            <w:tcW w:w="1505" w:type="dxa"/>
            <w:vAlign w:val="top"/>
          </w:tcPr>
          <w:p w14:paraId="05768DD1">
            <w:pPr>
              <w:pStyle w:val="4"/>
              <w:numPr>
                <w:ilvl w:val="4"/>
                <w:numId w:val="0"/>
              </w:numPr>
              <w:ind w:left="0" w:leftChars="0" w:firstLine="0" w:firstLineChars="0"/>
              <w:jc w:val="center"/>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崖子镇全域</w:t>
            </w:r>
          </w:p>
        </w:tc>
        <w:tc>
          <w:tcPr>
            <w:tcW w:w="1505" w:type="dxa"/>
            <w:vAlign w:val="top"/>
          </w:tcPr>
          <w:p w14:paraId="2E26F02F">
            <w:pPr>
              <w:pStyle w:val="4"/>
              <w:numPr>
                <w:ilvl w:val="4"/>
                <w:numId w:val="0"/>
              </w:numPr>
              <w:ind w:left="0" w:leftChars="0" w:firstLine="0" w:firstLineChars="0"/>
              <w:jc w:val="center"/>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大业金矿危矿库</w:t>
            </w:r>
          </w:p>
        </w:tc>
        <w:tc>
          <w:tcPr>
            <w:tcW w:w="1505" w:type="dxa"/>
            <w:vAlign w:val="top"/>
          </w:tcPr>
          <w:p w14:paraId="34A3D2E3">
            <w:pPr>
              <w:pStyle w:val="4"/>
              <w:numPr>
                <w:ilvl w:val="4"/>
                <w:numId w:val="0"/>
              </w:numPr>
              <w:ind w:left="0" w:leftChars="0" w:firstLine="0" w:firstLineChars="0"/>
              <w:jc w:val="center"/>
              <w:rPr>
                <w:rFonts w:hint="eastAsia" w:ascii="仿宋_GB2312" w:hAnsi="仿宋_GB2312" w:eastAsia="仿宋_GB2312" w:cs="仿宋_GB2312"/>
                <w:b w:val="0"/>
                <w:bCs w:val="0"/>
                <w:kern w:val="2"/>
                <w:sz w:val="24"/>
                <w:szCs w:val="24"/>
                <w:highlight w:val="none"/>
                <w:vertAlign w:val="baseline"/>
                <w:lang w:val="en-US" w:eastAsia="zh-CN" w:bidi="ar-SA"/>
              </w:rPr>
            </w:pPr>
          </w:p>
        </w:tc>
        <w:tc>
          <w:tcPr>
            <w:tcW w:w="1505" w:type="dxa"/>
            <w:vAlign w:val="top"/>
          </w:tcPr>
          <w:p w14:paraId="38E6ACA4">
            <w:pPr>
              <w:pStyle w:val="4"/>
              <w:numPr>
                <w:ilvl w:val="4"/>
                <w:numId w:val="0"/>
              </w:numPr>
              <w:ind w:left="0" w:leftChars="0" w:firstLine="0" w:firstLineChars="0"/>
              <w:jc w:val="center"/>
              <w:rPr>
                <w:rFonts w:hint="eastAsia" w:ascii="仿宋_GB2312" w:hAnsi="仿宋_GB2312" w:eastAsia="仿宋_GB2312" w:cs="仿宋_GB2312"/>
                <w:b w:val="0"/>
                <w:bCs w:val="0"/>
                <w:kern w:val="2"/>
                <w:sz w:val="24"/>
                <w:szCs w:val="24"/>
                <w:highlight w:val="none"/>
                <w:vertAlign w:val="baseline"/>
                <w:lang w:val="en-US" w:eastAsia="zh-CN" w:bidi="ar-SA"/>
              </w:rPr>
            </w:pPr>
          </w:p>
        </w:tc>
        <w:tc>
          <w:tcPr>
            <w:tcW w:w="1506" w:type="dxa"/>
            <w:vAlign w:val="top"/>
          </w:tcPr>
          <w:p w14:paraId="75A22819">
            <w:pPr>
              <w:pStyle w:val="4"/>
              <w:numPr>
                <w:ilvl w:val="4"/>
                <w:numId w:val="0"/>
              </w:numPr>
              <w:ind w:left="0" w:leftChars="0" w:firstLine="0" w:firstLineChars="0"/>
              <w:jc w:val="center"/>
              <w:rPr>
                <w:rFonts w:hint="eastAsia" w:ascii="仿宋_GB2312" w:hAnsi="仿宋_GB2312" w:eastAsia="仿宋_GB2312" w:cs="仿宋_GB2312"/>
                <w:b w:val="0"/>
                <w:bCs w:val="0"/>
                <w:kern w:val="2"/>
                <w:sz w:val="24"/>
                <w:szCs w:val="24"/>
                <w:highlight w:val="none"/>
                <w:vertAlign w:val="baseline"/>
                <w:lang w:val="en-US" w:eastAsia="zh-CN" w:bidi="ar-SA"/>
              </w:rPr>
            </w:pPr>
          </w:p>
        </w:tc>
      </w:tr>
      <w:tr w14:paraId="72A6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vAlign w:val="top"/>
          </w:tcPr>
          <w:p w14:paraId="1120CF5C">
            <w:pPr>
              <w:pStyle w:val="4"/>
              <w:numPr>
                <w:ilvl w:val="4"/>
                <w:numId w:val="0"/>
              </w:numPr>
              <w:ind w:left="0" w:leftChars="0" w:firstLine="0" w:firstLineChars="0"/>
              <w:jc w:val="center"/>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南黄镇</w:t>
            </w:r>
          </w:p>
        </w:tc>
        <w:tc>
          <w:tcPr>
            <w:tcW w:w="1505" w:type="dxa"/>
            <w:vAlign w:val="top"/>
          </w:tcPr>
          <w:p w14:paraId="2AA4A2E1">
            <w:pPr>
              <w:pStyle w:val="4"/>
              <w:numPr>
                <w:ilvl w:val="4"/>
                <w:numId w:val="0"/>
              </w:numPr>
              <w:ind w:left="0" w:leftChars="0" w:firstLine="0" w:firstLineChars="0"/>
              <w:jc w:val="center"/>
              <w:rPr>
                <w:rFonts w:hint="eastAsia" w:ascii="仿宋_GB2312" w:hAnsi="仿宋_GB2312" w:eastAsia="仿宋_GB2312" w:cs="仿宋_GB2312"/>
                <w:b w:val="0"/>
                <w:bCs w:val="0"/>
                <w:kern w:val="2"/>
                <w:sz w:val="24"/>
                <w:szCs w:val="24"/>
                <w:highlight w:val="none"/>
                <w:vertAlign w:val="baseline"/>
                <w:lang w:val="en-US" w:eastAsia="zh-CN" w:bidi="ar-SA"/>
              </w:rPr>
            </w:pPr>
          </w:p>
        </w:tc>
        <w:tc>
          <w:tcPr>
            <w:tcW w:w="1505" w:type="dxa"/>
            <w:vAlign w:val="top"/>
          </w:tcPr>
          <w:p w14:paraId="5A531FD1">
            <w:pPr>
              <w:pStyle w:val="4"/>
              <w:numPr>
                <w:ilvl w:val="4"/>
                <w:numId w:val="0"/>
              </w:numPr>
              <w:ind w:left="0" w:leftChars="0" w:firstLine="0" w:firstLineChars="0"/>
              <w:jc w:val="center"/>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上庄西废弃石坑</w:t>
            </w:r>
          </w:p>
        </w:tc>
        <w:tc>
          <w:tcPr>
            <w:tcW w:w="1505" w:type="dxa"/>
            <w:vAlign w:val="top"/>
          </w:tcPr>
          <w:p w14:paraId="5C07813B">
            <w:pPr>
              <w:pStyle w:val="4"/>
              <w:numPr>
                <w:ilvl w:val="4"/>
                <w:numId w:val="0"/>
              </w:numPr>
              <w:ind w:left="0" w:leftChars="0" w:firstLine="0" w:firstLineChars="0"/>
              <w:jc w:val="center"/>
              <w:rPr>
                <w:rFonts w:hint="eastAsia" w:ascii="仿宋_GB2312" w:hAnsi="仿宋_GB2312" w:eastAsia="仿宋_GB2312" w:cs="仿宋_GB2312"/>
                <w:b/>
                <w:bCs/>
                <w:kern w:val="2"/>
                <w:sz w:val="21"/>
                <w:szCs w:val="28"/>
                <w:highlight w:val="none"/>
                <w:lang w:val="en-US" w:eastAsia="zh-CN" w:bidi="ar-SA"/>
              </w:rPr>
            </w:pPr>
            <w:r>
              <w:rPr>
                <w:rFonts w:hint="eastAsia" w:ascii="仿宋_GB2312" w:hAnsi="仿宋_GB2312" w:eastAsia="仿宋_GB2312" w:cs="仿宋_GB2312"/>
                <w:highlight w:val="none"/>
                <w:lang w:val="en-US" w:eastAsia="zh-CN"/>
              </w:rPr>
              <w:t>1.7</w:t>
            </w:r>
          </w:p>
        </w:tc>
        <w:tc>
          <w:tcPr>
            <w:tcW w:w="1505" w:type="dxa"/>
            <w:vAlign w:val="top"/>
          </w:tcPr>
          <w:p w14:paraId="762A62AB">
            <w:pPr>
              <w:pStyle w:val="4"/>
              <w:numPr>
                <w:ilvl w:val="4"/>
                <w:numId w:val="0"/>
              </w:numPr>
              <w:ind w:left="0" w:leftChars="0" w:firstLine="0" w:firstLineChars="0"/>
              <w:jc w:val="center"/>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1500</w:t>
            </w:r>
          </w:p>
        </w:tc>
        <w:tc>
          <w:tcPr>
            <w:tcW w:w="1506" w:type="dxa"/>
            <w:vAlign w:val="top"/>
          </w:tcPr>
          <w:p w14:paraId="7399F6FB">
            <w:pPr>
              <w:pStyle w:val="4"/>
              <w:numPr>
                <w:ilvl w:val="4"/>
                <w:numId w:val="0"/>
              </w:numPr>
              <w:ind w:left="0" w:leftChars="0" w:firstLine="0" w:firstLineChars="0"/>
              <w:jc w:val="center"/>
              <w:rPr>
                <w:rFonts w:hint="eastAsia" w:ascii="仿宋_GB2312" w:hAnsi="仿宋_GB2312" w:eastAsia="仿宋_GB2312" w:cs="仿宋_GB2312"/>
                <w:b w:val="0"/>
                <w:bCs w:val="0"/>
                <w:kern w:val="2"/>
                <w:sz w:val="24"/>
                <w:szCs w:val="24"/>
                <w:highlight w:val="none"/>
                <w:vertAlign w:val="baseline"/>
                <w:lang w:val="en-US" w:eastAsia="zh-CN" w:bidi="ar-SA"/>
              </w:rPr>
            </w:pPr>
            <w:r>
              <w:rPr>
                <w:rFonts w:hint="eastAsia" w:ascii="仿宋_GB2312" w:hAnsi="仿宋_GB2312" w:eastAsia="仿宋_GB2312" w:cs="仿宋_GB2312"/>
                <w:b w:val="0"/>
                <w:bCs w:val="0"/>
                <w:sz w:val="24"/>
                <w:szCs w:val="24"/>
                <w:highlight w:val="none"/>
                <w:vertAlign w:val="baseline"/>
                <w:lang w:val="en-US" w:eastAsia="zh-CN"/>
              </w:rPr>
              <w:t>收集点</w:t>
            </w:r>
          </w:p>
        </w:tc>
      </w:tr>
    </w:tbl>
    <w:p w14:paraId="678A9D5E">
      <w:pPr>
        <w:rPr>
          <w:rFonts w:hint="eastAsia"/>
          <w:highlight w:val="none"/>
          <w:lang w:val="en-US" w:eastAsia="zh-CN"/>
        </w:rPr>
      </w:pPr>
    </w:p>
    <w:p w14:paraId="037AFD9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表7各区市建筑垃圾处置点规划一览表</w:t>
      </w:r>
    </w:p>
    <w:tbl>
      <w:tblPr>
        <w:tblStyle w:val="9"/>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1505"/>
        <w:gridCol w:w="1505"/>
        <w:gridCol w:w="1505"/>
        <w:gridCol w:w="1505"/>
        <w:gridCol w:w="1506"/>
      </w:tblGrid>
      <w:tr w14:paraId="1892D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tcPr>
          <w:p w14:paraId="693CFBE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highlight w:val="none"/>
                <w:lang w:val="en-US" w:eastAsia="zh-CN"/>
              </w:rPr>
            </w:pPr>
            <w:r>
              <w:rPr>
                <w:rFonts w:hint="eastAsia" w:ascii="黑体" w:hAnsi="黑体" w:eastAsia="黑体" w:cs="黑体"/>
                <w:b w:val="0"/>
                <w:bCs w:val="0"/>
                <w:sz w:val="24"/>
                <w:szCs w:val="24"/>
                <w:highlight w:val="none"/>
                <w:vertAlign w:val="baseline"/>
                <w:lang w:val="en-US" w:eastAsia="zh-CN"/>
              </w:rPr>
              <w:t>区（镇街）</w:t>
            </w:r>
          </w:p>
        </w:tc>
        <w:tc>
          <w:tcPr>
            <w:tcW w:w="1505" w:type="dxa"/>
          </w:tcPr>
          <w:p w14:paraId="380A2A5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服务区域</w:t>
            </w:r>
          </w:p>
        </w:tc>
        <w:tc>
          <w:tcPr>
            <w:tcW w:w="1505" w:type="dxa"/>
          </w:tcPr>
          <w:p w14:paraId="2042CA4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设施名称</w:t>
            </w:r>
          </w:p>
        </w:tc>
        <w:tc>
          <w:tcPr>
            <w:tcW w:w="1505" w:type="dxa"/>
          </w:tcPr>
          <w:p w14:paraId="12EFBAE9">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处理规模 （万吨/年）</w:t>
            </w:r>
          </w:p>
        </w:tc>
        <w:tc>
          <w:tcPr>
            <w:tcW w:w="1505" w:type="dxa"/>
          </w:tcPr>
          <w:p w14:paraId="3761E47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占地规模 （㎡）</w:t>
            </w:r>
          </w:p>
        </w:tc>
        <w:tc>
          <w:tcPr>
            <w:tcW w:w="1506" w:type="dxa"/>
          </w:tcPr>
          <w:p w14:paraId="2E0881AF">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highlight w:val="none"/>
                <w:lang w:val="en-US" w:eastAsia="zh-CN"/>
              </w:rPr>
            </w:pPr>
            <w:r>
              <w:rPr>
                <w:rFonts w:hint="eastAsia" w:ascii="黑体" w:hAnsi="黑体" w:eastAsia="黑体" w:cs="黑体"/>
                <w:sz w:val="24"/>
                <w:szCs w:val="24"/>
                <w:highlight w:val="none"/>
                <w:lang w:val="en-US" w:eastAsia="zh-CN"/>
              </w:rPr>
              <w:t>类型（升级或新增）</w:t>
            </w:r>
          </w:p>
        </w:tc>
      </w:tr>
      <w:tr w14:paraId="5480D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5" w:type="dxa"/>
          </w:tcPr>
          <w:p w14:paraId="434A9AC3">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highlight w:val="yellow"/>
                <w:lang w:val="en-US" w:eastAsia="zh-CN"/>
              </w:rPr>
            </w:pPr>
          </w:p>
        </w:tc>
        <w:tc>
          <w:tcPr>
            <w:tcW w:w="1505" w:type="dxa"/>
          </w:tcPr>
          <w:p w14:paraId="79FC9177">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highlight w:val="yellow"/>
                <w:lang w:val="en-US" w:eastAsia="zh-CN"/>
              </w:rPr>
            </w:pPr>
          </w:p>
        </w:tc>
        <w:tc>
          <w:tcPr>
            <w:tcW w:w="1505" w:type="dxa"/>
          </w:tcPr>
          <w:p w14:paraId="3749659E">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highlight w:val="yellow"/>
                <w:lang w:val="en-US" w:eastAsia="zh-CN"/>
              </w:rPr>
            </w:pPr>
          </w:p>
        </w:tc>
        <w:tc>
          <w:tcPr>
            <w:tcW w:w="1505" w:type="dxa"/>
          </w:tcPr>
          <w:p w14:paraId="307D9D48">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highlight w:val="yellow"/>
                <w:lang w:val="en-US" w:eastAsia="zh-CN"/>
              </w:rPr>
            </w:pPr>
          </w:p>
        </w:tc>
        <w:tc>
          <w:tcPr>
            <w:tcW w:w="1505" w:type="dxa"/>
          </w:tcPr>
          <w:p w14:paraId="4502C56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highlight w:val="yellow"/>
                <w:lang w:val="en-US" w:eastAsia="zh-CN"/>
              </w:rPr>
            </w:pPr>
          </w:p>
        </w:tc>
        <w:tc>
          <w:tcPr>
            <w:tcW w:w="1506" w:type="dxa"/>
          </w:tcPr>
          <w:p w14:paraId="2B4A4136">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sz w:val="24"/>
                <w:szCs w:val="24"/>
                <w:highlight w:val="yellow"/>
                <w:lang w:val="en-US" w:eastAsia="zh-CN"/>
              </w:rPr>
            </w:pPr>
          </w:p>
        </w:tc>
      </w:tr>
    </w:tbl>
    <w:p w14:paraId="25888C88">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14:paraId="768AF44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lang w:eastAsia="zh-CN"/>
        </w:rPr>
        <w:t>第六章</w:t>
      </w:r>
      <w:r>
        <w:rPr>
          <w:rFonts w:hint="eastAsia" w:ascii="黑体" w:hAnsi="黑体" w:eastAsia="黑体" w:cs="黑体"/>
          <w:b w:val="0"/>
          <w:bCs/>
          <w:color w:val="000000"/>
          <w:sz w:val="32"/>
          <w:szCs w:val="32"/>
          <w:lang w:val="en-US" w:eastAsia="zh-CN"/>
        </w:rPr>
        <w:t xml:space="preserve"> </w:t>
      </w:r>
      <w:r>
        <w:rPr>
          <w:rFonts w:hint="eastAsia" w:ascii="黑体" w:hAnsi="黑体" w:eastAsia="黑体" w:cs="黑体"/>
          <w:b w:val="0"/>
          <w:bCs/>
          <w:color w:val="000000"/>
          <w:sz w:val="32"/>
          <w:szCs w:val="32"/>
        </w:rPr>
        <w:t>管理体系</w:t>
      </w:r>
    </w:p>
    <w:p w14:paraId="475F4D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b w:val="0"/>
          <w:bCs/>
          <w:color w:val="000000"/>
          <w:sz w:val="32"/>
          <w:szCs w:val="32"/>
        </w:rPr>
        <w:t xml:space="preserve">第十六条 组织机构 </w:t>
      </w:r>
      <w:r>
        <w:rPr>
          <w:rFonts w:hint="eastAsia" w:ascii="仿宋_GB2312" w:hAnsi="仿宋_GB2312" w:eastAsia="仿宋_GB2312" w:cs="仿宋_GB2312"/>
          <w:sz w:val="32"/>
          <w:szCs w:val="32"/>
          <w:lang w:val="en-US" w:eastAsia="zh-CN"/>
        </w:rPr>
        <w:t>威海市建筑垃圾全过程管理工作将实行职能部门联动，明确各单位分工，加强联合执法的工作原则。市级主要部门分工如下，区（县级市）做好辖区建筑垃圾全过程管理工作：</w:t>
      </w:r>
    </w:p>
    <w:p w14:paraId="727A76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住房城乡建设局：负责编制建筑垃圾处置点专项规划；指导区市建筑工程和市政工程主管部门做好建筑垃圾源头减量工作；指导区市环卫部门加强建筑垃圾消纳和资源化利用工作；指导区市城管部门会同相关部门做好建筑垃圾运输管理工作。</w:t>
      </w:r>
    </w:p>
    <w:p w14:paraId="20BAFCB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市公安局：负责建筑垃圾运输车辆的注册登记、禁行路段核发道路通行证工作，依法查处建筑垃圾运输车辆超载、超速、闯禁行等交通违法行为。</w:t>
      </w:r>
    </w:p>
    <w:p w14:paraId="25070C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FF"/>
          <w:sz w:val="32"/>
          <w:szCs w:val="32"/>
          <w:lang w:val="en-US" w:eastAsia="zh-CN"/>
        </w:rPr>
      </w:pPr>
      <w:r>
        <w:rPr>
          <w:rFonts w:hint="eastAsia" w:ascii="仿宋_GB2312" w:hAnsi="仿宋_GB2312" w:eastAsia="仿宋_GB2312" w:cs="仿宋_GB2312"/>
          <w:color w:val="0000FF"/>
          <w:sz w:val="32"/>
          <w:szCs w:val="32"/>
          <w:lang w:val="en-US" w:eastAsia="zh-CN"/>
        </w:rPr>
        <w:t>市发展和改革局：负责建筑垃圾处置政府投资项目立项核准。</w:t>
      </w:r>
    </w:p>
    <w:p w14:paraId="30C2F5E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lang w:val="en-US" w:eastAsia="zh-CN"/>
        </w:rPr>
        <w:t>市自然资源和规划局：</w:t>
      </w:r>
      <w:r>
        <w:rPr>
          <w:rFonts w:hint="eastAsia" w:ascii="仿宋_GB2312" w:hAnsi="仿宋_GB2312" w:eastAsia="仿宋_GB2312" w:cs="仿宋_GB2312"/>
          <w:sz w:val="32"/>
          <w:szCs w:val="32"/>
          <w:highlight w:val="yellow"/>
          <w:lang w:val="en-US" w:eastAsia="zh-CN"/>
        </w:rPr>
        <w:t>负责将建筑垃圾处置点纳入国土空间规划体系和“一张图”实施监督管理系统。</w:t>
      </w:r>
    </w:p>
    <w:p w14:paraId="192403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sz w:val="32"/>
          <w:szCs w:val="32"/>
          <w:highlight w:val="yellow"/>
        </w:rPr>
      </w:pPr>
      <w:r>
        <w:rPr>
          <w:rFonts w:hint="eastAsia" w:ascii="仿宋_GB2312" w:hAnsi="仿宋_GB2312" w:eastAsia="仿宋_GB2312" w:cs="仿宋_GB2312"/>
          <w:sz w:val="32"/>
          <w:szCs w:val="32"/>
          <w:lang w:val="en-US" w:eastAsia="zh-CN"/>
        </w:rPr>
        <w:t>市生态环境局：负责建筑垃圾环境污染防治的监督管理，加强对建筑垃圾处置单位的环境监管，防止发生二次污染，并依法对违法行为进行查处。</w:t>
      </w:r>
    </w:p>
    <w:p w14:paraId="0A59AA7F">
      <w:pPr>
        <w:pStyle w:val="7"/>
        <w:keepNext w:val="0"/>
        <w:keepLines w:val="0"/>
        <w:widowControl/>
        <w:suppressLineNumbers w:val="0"/>
        <w:shd w:val="clear" w:color="auto" w:fill="FFFFFF"/>
        <w:wordWrap/>
        <w:spacing w:before="0" w:beforeAutospacing="0" w:after="0" w:afterAutospacing="0"/>
        <w:ind w:right="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市交通运输局：</w:t>
      </w:r>
      <w:r>
        <w:rPr>
          <w:rFonts w:hint="eastAsia" w:ascii="仿宋_GB2312" w:hAnsi="仿宋_GB2312" w:eastAsia="仿宋_GB2312" w:cs="仿宋_GB2312"/>
          <w:kern w:val="2"/>
          <w:sz w:val="32"/>
          <w:szCs w:val="32"/>
          <w:highlight w:val="yellow"/>
          <w:lang w:val="en-US" w:eastAsia="zh-CN" w:bidi="ar-SA"/>
        </w:rPr>
        <w:t>负责对具有道路运输经营许可的建筑垃圾运输单位及其营运车辆的道路运输违法行为进行查处，</w:t>
      </w:r>
      <w:r>
        <w:rPr>
          <w:rFonts w:hint="eastAsia" w:ascii="仿宋_GB2312" w:hAnsi="仿宋_GB2312" w:eastAsia="仿宋_GB2312" w:cs="仿宋_GB2312"/>
          <w:sz w:val="32"/>
          <w:szCs w:val="32"/>
          <w:highlight w:val="yellow"/>
          <w:lang w:val="en-US" w:eastAsia="zh-CN"/>
        </w:rPr>
        <w:t>配合做好交通运输工程建筑垃圾的管理工作。</w:t>
      </w:r>
      <w:r>
        <w:rPr>
          <w:rFonts w:hint="eastAsia" w:ascii="仿宋_GB2312" w:hAnsi="仿宋_GB2312" w:eastAsia="仿宋_GB2312" w:cs="仿宋_GB2312"/>
          <w:sz w:val="32"/>
          <w:szCs w:val="32"/>
          <w:lang w:val="en-US" w:eastAsia="zh-CN"/>
        </w:rPr>
        <w:t xml:space="preserve">  </w:t>
      </w:r>
    </w:p>
    <w:p w14:paraId="6E344B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市水务局：负责所监管的水利工程建筑垃圾的管理工作； 配合有关部门对在水源保护区内乱倒建筑垃圾的行为依法进行查处。 </w:t>
      </w:r>
    </w:p>
    <w:p w14:paraId="0F1B3A4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kern w:val="2"/>
          <w:sz w:val="32"/>
          <w:szCs w:val="32"/>
          <w:lang w:val="en-US" w:eastAsia="zh-CN" w:bidi="ar-SA"/>
        </w:rPr>
      </w:pPr>
      <w:r>
        <w:rPr>
          <w:rFonts w:hint="eastAsia" w:ascii="仿宋_GB2312" w:hAnsi="仿宋_GB2312" w:eastAsia="仿宋_GB2312" w:cs="仿宋_GB2312"/>
          <w:b w:val="0"/>
          <w:bCs w:val="0"/>
          <w:kern w:val="2"/>
          <w:sz w:val="32"/>
          <w:szCs w:val="32"/>
          <w:lang w:val="en-US" w:eastAsia="zh-CN" w:bidi="ar-SA"/>
        </w:rPr>
        <w:t>市行政审批服务局：负责指导区市办理建筑垃圾处置核准手续；负责建筑垃圾处置社会投资项目立项核准；负责道路运输经营许可及车辆道路运输证办理。</w:t>
      </w:r>
    </w:p>
    <w:p w14:paraId="2C549F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lang w:eastAsia="zh-CN"/>
        </w:rPr>
        <w:t>第十七条</w:t>
      </w:r>
      <w:r>
        <w:rPr>
          <w:rFonts w:hint="eastAsia" w:ascii="黑体" w:hAnsi="黑体" w:eastAsia="黑体" w:cs="黑体"/>
          <w:b w:val="0"/>
          <w:bCs/>
          <w:color w:val="000000"/>
          <w:sz w:val="32"/>
          <w:szCs w:val="32"/>
          <w:lang w:val="en-US" w:eastAsia="zh-CN"/>
        </w:rPr>
        <w:t xml:space="preserve"> </w:t>
      </w:r>
      <w:r>
        <w:rPr>
          <w:rFonts w:hint="eastAsia" w:ascii="黑体" w:hAnsi="黑体" w:eastAsia="黑体" w:cs="黑体"/>
          <w:b w:val="0"/>
          <w:bCs/>
          <w:color w:val="000000"/>
          <w:sz w:val="32"/>
          <w:szCs w:val="32"/>
        </w:rPr>
        <w:t>管理制度和措施</w:t>
      </w:r>
    </w:p>
    <w:p w14:paraId="294DD394">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（一）源头减量。</w:t>
      </w:r>
      <w:r>
        <w:rPr>
          <w:rFonts w:hint="eastAsia" w:ascii="仿宋_GB2312" w:hAnsi="仿宋_GB2312" w:eastAsia="仿宋_GB2312" w:cs="仿宋_GB2312"/>
          <w:sz w:val="32"/>
          <w:szCs w:val="32"/>
          <w:lang w:val="en-US" w:eastAsia="zh-CN"/>
        </w:rPr>
        <w:t>减少工地现场建筑垃圾产生量，项目建议书、可研报告、初步设计概算和施工方案等文件应包含建筑垃圾处置方案。工程设计单位、施工单位应当根据建筑垃圾减量化规定，优化建筑设计，科学组织施工，充分考虑土石方挖填平衡和就地利用，减少建筑垃圾产量，鼓励使用一定比例的建筑垃圾再生产品。鼓励使用移动式资源化处置设备制备再生粗骨料、再生砂等制品，因地制宜实施资源化利用。</w:t>
      </w:r>
    </w:p>
    <w:p w14:paraId="204AB92D">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（二）“三联单”制度。</w:t>
      </w:r>
      <w:r>
        <w:rPr>
          <w:rFonts w:hint="eastAsia" w:ascii="仿宋_GB2312" w:hAnsi="仿宋_GB2312" w:eastAsia="仿宋_GB2312" w:cs="仿宋_GB2312"/>
          <w:sz w:val="32"/>
          <w:szCs w:val="32"/>
          <w:lang w:val="en-US" w:eastAsia="zh-CN"/>
        </w:rPr>
        <w:t>建设单位应将建筑垃圾处置方案和相关费用纳入工程项目管理。建筑垃圾处置实行电子联单管理制度，实现产生、运输、处置全过程信息化管理。</w:t>
      </w:r>
    </w:p>
    <w:p w14:paraId="0107B890">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（三）合理布局。</w:t>
      </w:r>
      <w:r>
        <w:rPr>
          <w:rFonts w:hint="eastAsia" w:ascii="仿宋_GB2312" w:hAnsi="仿宋_GB2312" w:eastAsia="仿宋_GB2312" w:cs="仿宋_GB2312"/>
          <w:sz w:val="32"/>
          <w:szCs w:val="32"/>
          <w:lang w:val="en-US" w:eastAsia="zh-CN"/>
        </w:rPr>
        <w:t>结合威海市国土空间规划与乡村振兴规划，落实建筑垃圾处置场地合理布局。对于开工项目、农村自建房项目实行就近收处置，确定最佳运输路线。</w:t>
      </w:r>
    </w:p>
    <w:p w14:paraId="7CDF84BB">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（四）诚信体系。</w:t>
      </w:r>
      <w:r>
        <w:rPr>
          <w:rFonts w:hint="eastAsia" w:ascii="仿宋_GB2312" w:hAnsi="仿宋_GB2312" w:eastAsia="仿宋_GB2312" w:cs="仿宋_GB2312"/>
          <w:sz w:val="32"/>
          <w:szCs w:val="32"/>
          <w:lang w:val="en-US" w:eastAsia="zh-CN"/>
        </w:rPr>
        <w:t>工地主管部门应当将施工单位处置建筑垃圾的情况纳入建筑业企业诚信综合评价体系进行管理，并由按照规定程序记入企业信用档案。逐步建立建筑垃圾运输诚信综合评价体系，对运输企业和运输车辆实施市场退出机制。</w:t>
      </w:r>
    </w:p>
    <w:p w14:paraId="663443DF">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3" w:firstLineChars="200"/>
        <w:textAlignment w:val="auto"/>
        <w:rPr>
          <w:rFonts w:hint="eastAsia" w:ascii="Times New Roman" w:hAnsi="Times New Roman" w:eastAsia="仿宋_GB2312" w:cs="仿宋_GB2312"/>
          <w:color w:val="auto"/>
          <w:kern w:val="2"/>
          <w:sz w:val="32"/>
          <w:szCs w:val="32"/>
          <w:lang w:val="en-US" w:eastAsia="zh-CN" w:bidi="ar-SA"/>
        </w:rPr>
      </w:pPr>
      <w:r>
        <w:rPr>
          <w:rFonts w:hint="eastAsia" w:ascii="仿宋_GB2312" w:hAnsi="仿宋_GB2312" w:eastAsia="仿宋_GB2312" w:cs="仿宋_GB2312"/>
          <w:b/>
          <w:bCs/>
          <w:sz w:val="32"/>
          <w:szCs w:val="32"/>
          <w:lang w:val="en-US" w:eastAsia="zh-CN"/>
        </w:rPr>
        <w:t>（五）执法监督。</w:t>
      </w:r>
      <w:r>
        <w:rPr>
          <w:rFonts w:hint="eastAsia" w:ascii="Times New Roman" w:hAnsi="Times New Roman" w:eastAsia="仿宋_GB2312" w:cs="仿宋_GB2312"/>
          <w:color w:val="auto"/>
          <w:kern w:val="2"/>
          <w:sz w:val="32"/>
          <w:szCs w:val="32"/>
          <w:lang w:val="en-US" w:eastAsia="zh-CN" w:bidi="ar-SA"/>
        </w:rPr>
        <w:t>各区市建设主管部门牵头，组织公安交警、交通、综合执法等相关部门开展联合执法行动，对建设单位未落实建筑垃圾处置核准或委托未核准的运输单位运输建筑垃圾；擅自设立弃置场收纳建筑垃圾的；运输单位未经核准或使用不符合建筑垃圾运输车辆要求车辆，超限超载，擅自倾倒、堆放、处置，道路遗撒，不按规定时间、路线行驶等违法行为进行全链条打击；其它违法违规行为。始终保持高压态势，使非法建筑垃圾运输处置得到有效遏制。</w:t>
      </w:r>
    </w:p>
    <w:p w14:paraId="1D83D105">
      <w:pPr>
        <w:pStyle w:val="2"/>
        <w:keepNext w:val="0"/>
        <w:keepLines w:val="0"/>
        <w:pageBreakBefore w:val="0"/>
        <w:widowControl w:val="0"/>
        <w:kinsoku/>
        <w:wordWrap/>
        <w:overflowPunct/>
        <w:topLinePunct w:val="0"/>
        <w:autoSpaceDE/>
        <w:autoSpaceDN/>
        <w:bidi w:val="0"/>
        <w:adjustRightInd/>
        <w:snapToGrid/>
        <w:spacing w:after="0" w:afterLines="0" w:line="560" w:lineRule="atLeast"/>
        <w:ind w:firstLine="643" w:firstLineChars="200"/>
        <w:textAlignment w:val="auto"/>
        <w:rPr>
          <w:rFonts w:hint="eastAsia"/>
          <w:lang w:val="en-US" w:eastAsia="zh-CN"/>
        </w:rPr>
      </w:pPr>
      <w:r>
        <w:rPr>
          <w:rFonts w:hint="eastAsia" w:ascii="仿宋_GB2312" w:hAnsi="仿宋_GB2312" w:eastAsia="仿宋_GB2312" w:cs="仿宋_GB2312"/>
          <w:b/>
          <w:bCs/>
          <w:kern w:val="2"/>
          <w:sz w:val="32"/>
          <w:szCs w:val="32"/>
          <w:lang w:val="en-US" w:eastAsia="zh-CN" w:bidi="ar-SA"/>
        </w:rPr>
        <w:t>（六）配套体系。</w:t>
      </w:r>
      <w:r>
        <w:rPr>
          <w:rFonts w:hint="eastAsia" w:ascii="仿宋_GB2312" w:hAnsi="仿宋_GB2312" w:eastAsia="仿宋_GB2312" w:cs="仿宋_GB2312"/>
          <w:sz w:val="32"/>
          <w:szCs w:val="32"/>
          <w:lang w:val="en-US" w:eastAsia="zh-CN"/>
        </w:rPr>
        <w:t>结合城市定位、性质和功能，积极探讨环境资源优先的财政税费政策，促进建筑垃圾资源的合理利用，限制资源和环境的过度使用和无序开发。</w:t>
      </w:r>
    </w:p>
    <w:p w14:paraId="7D6D1A58">
      <w:pPr>
        <w:keepNext w:val="0"/>
        <w:keepLines w:val="0"/>
        <w:pageBreakBefore w:val="0"/>
        <w:widowControl w:val="0"/>
        <w:numPr>
          <w:ilvl w:val="0"/>
          <w:numId w:val="0"/>
        </w:numPr>
        <w:kinsoku/>
        <w:wordWrap/>
        <w:overflowPunct/>
        <w:topLinePunct w:val="0"/>
        <w:autoSpaceDE/>
        <w:autoSpaceDN/>
        <w:bidi w:val="0"/>
        <w:adjustRightInd/>
        <w:snapToGrid/>
        <w:spacing w:line="560" w:lineRule="atLeas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（七）畅通联系。</w:t>
      </w:r>
      <w:r>
        <w:rPr>
          <w:rFonts w:hint="eastAsia" w:ascii="仿宋_GB2312" w:hAnsi="仿宋_GB2312" w:eastAsia="仿宋_GB2312" w:cs="仿宋_GB2312"/>
          <w:sz w:val="32"/>
          <w:szCs w:val="32"/>
          <w:lang w:val="en-US" w:eastAsia="zh-CN"/>
        </w:rPr>
        <w:t>积极发挥建筑行业协会的作用，通过行业协会建设相行业规则进行管理，规范建筑垃圾处理与资源化利用的行业秩序。市、区两级住建、城管部门与各社区、镇街、村委保持联系，共同建立建筑垃圾清运服务网络，做到建筑垃圾从产生到清运的及时性，为城市环境和市容美化提供管理保障。</w:t>
      </w:r>
    </w:p>
    <w:p w14:paraId="38EB61A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b w:val="0"/>
          <w:bCs/>
          <w:color w:val="000000"/>
          <w:sz w:val="32"/>
          <w:szCs w:val="32"/>
        </w:rPr>
        <w:t>第十八条 信息化管理</w:t>
      </w:r>
      <w:r>
        <w:rPr>
          <w:rFonts w:hint="eastAsia" w:ascii="黑体" w:hAnsi="黑体" w:eastAsia="黑体" w:cs="黑体"/>
          <w:b w:val="0"/>
          <w:bCs/>
          <w:color w:val="000000"/>
          <w:sz w:val="32"/>
          <w:szCs w:val="32"/>
          <w:lang w:val="en-US" w:eastAsia="zh-CN"/>
        </w:rPr>
        <w:t xml:space="preserve"> </w:t>
      </w:r>
      <w:r>
        <w:rPr>
          <w:rFonts w:hint="eastAsia" w:ascii="仿宋_GB2312" w:hAnsi="仿宋_GB2312" w:eastAsia="仿宋_GB2312" w:cs="仿宋_GB2312"/>
          <w:sz w:val="32"/>
          <w:szCs w:val="32"/>
          <w:lang w:val="en-US" w:eastAsia="zh-CN"/>
        </w:rPr>
        <w:t>启动建筑垃圾信息系统建设工作，同时推进实现该信息化平台在公安、交通及其他部门的数据共享。基于物联网、遥感、云计算、大数据智能分析等新一代信息技术，实时采集全市建设工程的建筑垃圾产生排放情况、运输车辆运行轨迹、处置场所受纳情况等信息，实现全覆盖、全流程、全过程的管理。</w:t>
      </w:r>
    </w:p>
    <w:p w14:paraId="325C2A90">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黑体" w:hAnsi="黑体" w:eastAsia="黑体" w:cs="黑体"/>
          <w:b w:val="0"/>
          <w:bCs/>
          <w:color w:val="000000"/>
          <w:sz w:val="32"/>
          <w:szCs w:val="32"/>
        </w:rPr>
      </w:pPr>
      <w:r>
        <w:rPr>
          <w:rFonts w:hint="eastAsia" w:ascii="黑体" w:hAnsi="黑体" w:eastAsia="黑体" w:cs="黑体"/>
          <w:b w:val="0"/>
          <w:bCs/>
          <w:color w:val="000000"/>
          <w:sz w:val="32"/>
          <w:szCs w:val="32"/>
        </w:rPr>
        <w:t>第八章 附则</w:t>
      </w:r>
    </w:p>
    <w:p w14:paraId="2F8CFCC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b w:val="0"/>
          <w:bCs/>
          <w:color w:val="000000"/>
          <w:sz w:val="32"/>
          <w:szCs w:val="32"/>
          <w:lang w:val="en-US" w:eastAsia="zh-CN"/>
        </w:rPr>
        <w:t xml:space="preserve">第二十条 </w:t>
      </w:r>
      <w:r>
        <w:rPr>
          <w:rFonts w:hint="eastAsia" w:ascii="仿宋_GB2312" w:hAnsi="仿宋_GB2312" w:eastAsia="仿宋_GB2312" w:cs="仿宋_GB2312"/>
          <w:sz w:val="32"/>
          <w:szCs w:val="32"/>
          <w:lang w:val="en-US" w:eastAsia="zh-CN"/>
        </w:rPr>
        <w:t xml:space="preserve">本规划由市住房城乡建设局负责解释并组织监督实施。 </w:t>
      </w:r>
    </w:p>
    <w:p w14:paraId="2F566EB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sz w:val="32"/>
          <w:szCs w:val="32"/>
        </w:rPr>
      </w:pPr>
      <w:r>
        <w:rPr>
          <w:rFonts w:hint="eastAsia" w:ascii="黑体" w:hAnsi="黑体" w:eastAsia="黑体" w:cs="黑体"/>
          <w:b w:val="0"/>
          <w:bCs/>
          <w:color w:val="000000"/>
          <w:sz w:val="32"/>
          <w:szCs w:val="32"/>
          <w:lang w:val="en-US" w:eastAsia="zh-CN"/>
        </w:rPr>
        <w:t xml:space="preserve">第二十一条 </w:t>
      </w:r>
      <w:r>
        <w:rPr>
          <w:rFonts w:hint="eastAsia" w:ascii="仿宋_GB2312" w:hAnsi="仿宋_GB2312" w:eastAsia="仿宋_GB2312" w:cs="仿宋_GB2312"/>
          <w:sz w:val="32"/>
          <w:szCs w:val="32"/>
          <w:lang w:val="en-US" w:eastAsia="zh-CN"/>
        </w:rPr>
        <w:t>本规划自批准之日起生效。</w:t>
      </w:r>
    </w:p>
    <w:sectPr>
      <w:pgSz w:w="11906" w:h="16838"/>
      <w:pgMar w:top="2098" w:right="1474" w:bottom="1984" w:left="1587" w:header="851" w:footer="992" w:gutter="0"/>
      <w:cols w:space="0" w:num="1"/>
      <w:rtlGutter w:val="0"/>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FAB372"/>
    <w:multiLevelType w:val="singleLevel"/>
    <w:tmpl w:val="F4FAB372"/>
    <w:lvl w:ilvl="0" w:tentative="0">
      <w:start w:val="2"/>
      <w:numFmt w:val="chineseCounting"/>
      <w:suff w:val="nothing"/>
      <w:lvlText w:val="（%1）"/>
      <w:lvlJc w:val="left"/>
      <w:rPr>
        <w:rFonts w:hint="eastAsia"/>
      </w:rPr>
    </w:lvl>
  </w:abstractNum>
  <w:abstractNum w:abstractNumId="1">
    <w:nsid w:val="23BD3230"/>
    <w:multiLevelType w:val="multilevel"/>
    <w:tmpl w:val="23BD3230"/>
    <w:lvl w:ilvl="0" w:tentative="0">
      <w:start w:val="1"/>
      <w:numFmt w:val="decimal"/>
      <w:lvlText w:val="%1"/>
      <w:lvlJc w:val="left"/>
      <w:pPr>
        <w:ind w:left="425" w:hanging="425"/>
      </w:pPr>
      <w:rPr>
        <w:rFonts w:hint="eastAsia" w:cs="Times New Roman"/>
      </w:rPr>
    </w:lvl>
    <w:lvl w:ilvl="1" w:tentative="0">
      <w:start w:val="1"/>
      <w:numFmt w:val="decimal"/>
      <w:lvlText w:val="%1.%2"/>
      <w:lvlJc w:val="left"/>
      <w:pPr>
        <w:ind w:left="992" w:hanging="567"/>
      </w:pPr>
      <w:rPr>
        <w:rFonts w:hint="eastAsia" w:cs="Times New Roman"/>
      </w:rPr>
    </w:lvl>
    <w:lvl w:ilvl="2" w:tentative="0">
      <w:start w:val="1"/>
      <w:numFmt w:val="decimal"/>
      <w:lvlText w:val="%1.%2.%3"/>
      <w:lvlJc w:val="left"/>
      <w:pPr>
        <w:ind w:left="1418" w:hanging="567"/>
      </w:pPr>
      <w:rPr>
        <w:rFonts w:hint="eastAsia" w:cs="Times New Roman"/>
      </w:rPr>
    </w:lvl>
    <w:lvl w:ilvl="3" w:tentative="0">
      <w:start w:val="1"/>
      <w:numFmt w:val="decimal"/>
      <w:lvlText w:val="%1.%2.%3.%4"/>
      <w:lvlJc w:val="left"/>
      <w:pPr>
        <w:ind w:left="850" w:hanging="708"/>
      </w:pPr>
      <w:rPr>
        <w:rFonts w:hint="eastAsia" w:cs="Times New Roman"/>
      </w:rPr>
    </w:lvl>
    <w:lvl w:ilvl="4" w:tentative="0">
      <w:start w:val="1"/>
      <w:numFmt w:val="decimal"/>
      <w:pStyle w:val="4"/>
      <w:lvlText w:val="%1.%2.%3.%4.%5"/>
      <w:lvlJc w:val="left"/>
      <w:pPr>
        <w:ind w:left="2551" w:hanging="850"/>
      </w:pPr>
      <w:rPr>
        <w:rFonts w:hint="eastAsia" w:cs="Times New Roman"/>
      </w:rPr>
    </w:lvl>
    <w:lvl w:ilvl="5" w:tentative="0">
      <w:start w:val="1"/>
      <w:numFmt w:val="decimal"/>
      <w:lvlText w:val="%1.%2.%3.%4.%5.%6"/>
      <w:lvlJc w:val="left"/>
      <w:pPr>
        <w:ind w:left="1134" w:hanging="1134"/>
      </w:pPr>
      <w:rPr>
        <w:rFonts w:hint="eastAsia" w:cs="Times New Roman"/>
      </w:rPr>
    </w:lvl>
    <w:lvl w:ilvl="6" w:tentative="0">
      <w:start w:val="1"/>
      <w:numFmt w:val="decimal"/>
      <w:lvlText w:val="%1.%2.%3.%4.%5.%6.%7"/>
      <w:lvlJc w:val="left"/>
      <w:pPr>
        <w:ind w:left="3827" w:hanging="1276"/>
      </w:pPr>
      <w:rPr>
        <w:rFonts w:hint="eastAsia" w:cs="Times New Roman"/>
      </w:rPr>
    </w:lvl>
    <w:lvl w:ilvl="7" w:tentative="0">
      <w:start w:val="1"/>
      <w:numFmt w:val="decimal"/>
      <w:lvlText w:val="%1.%2.%3.%4.%5.%6.%7.%8"/>
      <w:lvlJc w:val="left"/>
      <w:pPr>
        <w:ind w:left="4394" w:hanging="1418"/>
      </w:pPr>
      <w:rPr>
        <w:rFonts w:hint="eastAsia" w:cs="Times New Roman"/>
      </w:rPr>
    </w:lvl>
    <w:lvl w:ilvl="8" w:tentative="0">
      <w:start w:val="1"/>
      <w:numFmt w:val="decimal"/>
      <w:lvlText w:val="%1.%2.%3.%4.%5.%6.%7.%8.%9"/>
      <w:lvlJc w:val="left"/>
      <w:pPr>
        <w:ind w:left="5102" w:hanging="1700"/>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210"/>
  <w:drawingGridVerticalSpacing w:val="29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BA3249"/>
    <w:rsid w:val="001F197C"/>
    <w:rsid w:val="015C5FDB"/>
    <w:rsid w:val="021F6156"/>
    <w:rsid w:val="026B291E"/>
    <w:rsid w:val="035538F6"/>
    <w:rsid w:val="037D55A1"/>
    <w:rsid w:val="045D5282"/>
    <w:rsid w:val="04DA15FC"/>
    <w:rsid w:val="05935AC7"/>
    <w:rsid w:val="07510DF7"/>
    <w:rsid w:val="07CB6878"/>
    <w:rsid w:val="081C0A56"/>
    <w:rsid w:val="08342BC2"/>
    <w:rsid w:val="08364B64"/>
    <w:rsid w:val="08BD1F23"/>
    <w:rsid w:val="0A73205B"/>
    <w:rsid w:val="0AA44587"/>
    <w:rsid w:val="0AA80D77"/>
    <w:rsid w:val="0C294B59"/>
    <w:rsid w:val="0D993EE0"/>
    <w:rsid w:val="0E4D43AD"/>
    <w:rsid w:val="0EAB30D4"/>
    <w:rsid w:val="0F3A5E02"/>
    <w:rsid w:val="0F406E4C"/>
    <w:rsid w:val="0F47351E"/>
    <w:rsid w:val="10474F14"/>
    <w:rsid w:val="10475998"/>
    <w:rsid w:val="108031B7"/>
    <w:rsid w:val="10BB46A4"/>
    <w:rsid w:val="112221BB"/>
    <w:rsid w:val="11DF665D"/>
    <w:rsid w:val="12781F89"/>
    <w:rsid w:val="12B623F7"/>
    <w:rsid w:val="12B64357"/>
    <w:rsid w:val="153465BA"/>
    <w:rsid w:val="15D7762C"/>
    <w:rsid w:val="15F76EAF"/>
    <w:rsid w:val="172E5965"/>
    <w:rsid w:val="19177858"/>
    <w:rsid w:val="19BF4469"/>
    <w:rsid w:val="19D60A0A"/>
    <w:rsid w:val="1A0A0CDD"/>
    <w:rsid w:val="1A1861B9"/>
    <w:rsid w:val="1AD1084B"/>
    <w:rsid w:val="1B4D702D"/>
    <w:rsid w:val="1BC71B47"/>
    <w:rsid w:val="1BD5153A"/>
    <w:rsid w:val="1C0F1C7A"/>
    <w:rsid w:val="1C4A04A8"/>
    <w:rsid w:val="1CD60784"/>
    <w:rsid w:val="1E1A3BA4"/>
    <w:rsid w:val="1E2F0F4C"/>
    <w:rsid w:val="1E56098B"/>
    <w:rsid w:val="1EC96646"/>
    <w:rsid w:val="1F0E2286"/>
    <w:rsid w:val="1FE7A830"/>
    <w:rsid w:val="20B64FAC"/>
    <w:rsid w:val="22D6611A"/>
    <w:rsid w:val="23385D80"/>
    <w:rsid w:val="24477060"/>
    <w:rsid w:val="24654D1A"/>
    <w:rsid w:val="24B9386C"/>
    <w:rsid w:val="27416BC1"/>
    <w:rsid w:val="275E54B6"/>
    <w:rsid w:val="27A446C6"/>
    <w:rsid w:val="27BE5E59"/>
    <w:rsid w:val="27C40E5D"/>
    <w:rsid w:val="27CA6C76"/>
    <w:rsid w:val="28CA3E09"/>
    <w:rsid w:val="2A753ADF"/>
    <w:rsid w:val="2B4E4C6B"/>
    <w:rsid w:val="2B580E83"/>
    <w:rsid w:val="2B955CF3"/>
    <w:rsid w:val="2C334645"/>
    <w:rsid w:val="2CBC4047"/>
    <w:rsid w:val="2D237D0C"/>
    <w:rsid w:val="2DF62ED3"/>
    <w:rsid w:val="2F29408E"/>
    <w:rsid w:val="3101298F"/>
    <w:rsid w:val="31674CDC"/>
    <w:rsid w:val="31F63663"/>
    <w:rsid w:val="322669D9"/>
    <w:rsid w:val="32745309"/>
    <w:rsid w:val="328314EA"/>
    <w:rsid w:val="3295464F"/>
    <w:rsid w:val="32AC2F97"/>
    <w:rsid w:val="331B7436"/>
    <w:rsid w:val="33FA4DEE"/>
    <w:rsid w:val="353742DD"/>
    <w:rsid w:val="35DE3C86"/>
    <w:rsid w:val="36F43A50"/>
    <w:rsid w:val="378A716B"/>
    <w:rsid w:val="37B57FA4"/>
    <w:rsid w:val="38EA104E"/>
    <w:rsid w:val="38EB3FAE"/>
    <w:rsid w:val="39AE5D6C"/>
    <w:rsid w:val="3A020B41"/>
    <w:rsid w:val="3A043B04"/>
    <w:rsid w:val="3A356935"/>
    <w:rsid w:val="3BD1468B"/>
    <w:rsid w:val="3C8D3F2F"/>
    <w:rsid w:val="3D245BCA"/>
    <w:rsid w:val="3E040291"/>
    <w:rsid w:val="3E524A6F"/>
    <w:rsid w:val="3E9303CA"/>
    <w:rsid w:val="40A81D34"/>
    <w:rsid w:val="41B53438"/>
    <w:rsid w:val="442951F6"/>
    <w:rsid w:val="44D605A3"/>
    <w:rsid w:val="45851512"/>
    <w:rsid w:val="467532DB"/>
    <w:rsid w:val="471A745E"/>
    <w:rsid w:val="47A45D45"/>
    <w:rsid w:val="47C1718F"/>
    <w:rsid w:val="48176C92"/>
    <w:rsid w:val="48C11CDC"/>
    <w:rsid w:val="48FB2871"/>
    <w:rsid w:val="49246A71"/>
    <w:rsid w:val="493C4475"/>
    <w:rsid w:val="4A082212"/>
    <w:rsid w:val="4A787E69"/>
    <w:rsid w:val="4AF7BEF9"/>
    <w:rsid w:val="4B8155C1"/>
    <w:rsid w:val="4C7274B6"/>
    <w:rsid w:val="4CBE6112"/>
    <w:rsid w:val="4DBF54D1"/>
    <w:rsid w:val="4E4469E7"/>
    <w:rsid w:val="4E92178D"/>
    <w:rsid w:val="4FE435B9"/>
    <w:rsid w:val="501A14D2"/>
    <w:rsid w:val="50684BA1"/>
    <w:rsid w:val="51813F36"/>
    <w:rsid w:val="51C558AF"/>
    <w:rsid w:val="51CA70C0"/>
    <w:rsid w:val="527A163C"/>
    <w:rsid w:val="52D648CF"/>
    <w:rsid w:val="53DA71CA"/>
    <w:rsid w:val="54024CE5"/>
    <w:rsid w:val="54B47CCF"/>
    <w:rsid w:val="54E25EBA"/>
    <w:rsid w:val="55795734"/>
    <w:rsid w:val="55BA3249"/>
    <w:rsid w:val="56761D0F"/>
    <w:rsid w:val="574E09ED"/>
    <w:rsid w:val="57CE3472"/>
    <w:rsid w:val="58372C3C"/>
    <w:rsid w:val="58552F0A"/>
    <w:rsid w:val="59240FC5"/>
    <w:rsid w:val="5A2F704B"/>
    <w:rsid w:val="5A600C8F"/>
    <w:rsid w:val="5A8208C2"/>
    <w:rsid w:val="5BC2336C"/>
    <w:rsid w:val="5C42460F"/>
    <w:rsid w:val="5CD65C8A"/>
    <w:rsid w:val="5DAD292D"/>
    <w:rsid w:val="5EA614B4"/>
    <w:rsid w:val="5EAC744F"/>
    <w:rsid w:val="5EE122D4"/>
    <w:rsid w:val="5F23CD24"/>
    <w:rsid w:val="5F751C3E"/>
    <w:rsid w:val="60A03038"/>
    <w:rsid w:val="60B34805"/>
    <w:rsid w:val="60E87624"/>
    <w:rsid w:val="62942585"/>
    <w:rsid w:val="63945B78"/>
    <w:rsid w:val="63A91945"/>
    <w:rsid w:val="648D7063"/>
    <w:rsid w:val="6676EFC9"/>
    <w:rsid w:val="66B8611F"/>
    <w:rsid w:val="67FF53CC"/>
    <w:rsid w:val="68227004"/>
    <w:rsid w:val="684545C1"/>
    <w:rsid w:val="68753278"/>
    <w:rsid w:val="68EF7ED6"/>
    <w:rsid w:val="69A5161A"/>
    <w:rsid w:val="6A086F4F"/>
    <w:rsid w:val="6B660B80"/>
    <w:rsid w:val="6D5313A9"/>
    <w:rsid w:val="6DE27F19"/>
    <w:rsid w:val="6EC42051"/>
    <w:rsid w:val="718A4C27"/>
    <w:rsid w:val="71CF2FA6"/>
    <w:rsid w:val="72D050F4"/>
    <w:rsid w:val="743129FE"/>
    <w:rsid w:val="749D35FB"/>
    <w:rsid w:val="769F261F"/>
    <w:rsid w:val="76BD3B11"/>
    <w:rsid w:val="76E537B2"/>
    <w:rsid w:val="78866C05"/>
    <w:rsid w:val="7938734B"/>
    <w:rsid w:val="7A583003"/>
    <w:rsid w:val="7B414E4A"/>
    <w:rsid w:val="7B7C773F"/>
    <w:rsid w:val="7BCD5FB0"/>
    <w:rsid w:val="7C6D4ABD"/>
    <w:rsid w:val="7D2556E2"/>
    <w:rsid w:val="7E333191"/>
    <w:rsid w:val="7EA91CE7"/>
    <w:rsid w:val="7EFA0567"/>
    <w:rsid w:val="EEBBED92"/>
    <w:rsid w:val="FDE745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5"/>
    <w:basedOn w:val="1"/>
    <w:next w:val="1"/>
    <w:qFormat/>
    <w:uiPriority w:val="0"/>
    <w:pPr>
      <w:keepNext/>
      <w:keepLines/>
      <w:numPr>
        <w:ilvl w:val="4"/>
        <w:numId w:val="1"/>
      </w:numPr>
      <w:ind w:left="851" w:hanging="851"/>
      <w:outlineLvl w:val="4"/>
    </w:pPr>
    <w:rPr>
      <w:b/>
      <w:bCs/>
      <w:szCs w:val="28"/>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Lines="0"/>
    </w:pPr>
  </w:style>
  <w:style w:type="paragraph" w:customStyle="1" w:styleId="3">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styleId="5">
    <w:name w:val="Body Text Indent 2"/>
    <w:basedOn w:val="1"/>
    <w:qFormat/>
    <w:uiPriority w:val="0"/>
    <w:pPr>
      <w:spacing w:after="120" w:afterLines="0" w:line="480" w:lineRule="auto"/>
      <w:ind w:left="420" w:leftChars="200"/>
    </w:pPr>
  </w:style>
  <w:style w:type="paragraph" w:styleId="6">
    <w:name w:val="toc 1"/>
    <w:basedOn w:val="1"/>
    <w:next w:val="1"/>
    <w:qFormat/>
    <w:uiPriority w:val="0"/>
    <w:pPr>
      <w:snapToGrid w:val="0"/>
      <w:spacing w:line="640" w:lineRule="exact"/>
      <w:ind w:firstLine="705"/>
    </w:pPr>
    <w:rPr>
      <w:rFonts w:ascii="仿宋_GB2312" w:hAnsi="Times New Roman" w:eastAsia="仿宋_GB2312" w:cs="Times New Roman"/>
      <w:color w:val="000000"/>
      <w:sz w:val="36"/>
      <w:szCs w:val="36"/>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basedOn w:val="10"/>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6536</Words>
  <Characters>6760</Characters>
  <Lines>0</Lines>
  <Paragraphs>0</Paragraphs>
  <TotalTime>0</TotalTime>
  <ScaleCrop>false</ScaleCrop>
  <LinksUpToDate>false</LinksUpToDate>
  <CharactersWithSpaces>6846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2024-03-11T09:32:00Z</dcterms:created>
  <dc:creator>Administrator</dc:creator>
  <cp:lastModifiedBy>陈胜</cp:lastModifiedBy>
  <dcterms:modified xsi:type="dcterms:W3CDTF">2025-08-05T02:18:23Z</dcterms:modified>
  <dc:title>潮安区建筑垃圾处理专项规划 （2022—2030 年） （征求意见稿） 2022 年 10 月目 录 第一章 总则 .............................................. 1 第二章 规划目标与指标 .................................... 5 第三章 建筑垃圾产生量预测 ................................ 8 第四章 收集运输体系 ....................................</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E9F72DBEA9174662B34AF6387DD3BF1C_13</vt:lpwstr>
  </property>
  <property fmtid="{D5CDD505-2E9C-101B-9397-08002B2CF9AE}" pid="4" name="KSOTemplateDocerSaveRecord">
    <vt:lpwstr>eyJoZGlkIjoiMTgzNjA5ZWNmZDgxY2Y3YWRlNDcwNTZkM2NkYWQ3NzAiLCJ1c2VySWQiOiIxMjUxNTM5MDUzIn0=</vt:lpwstr>
  </property>
</Properties>
</file>