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关于《威海市住房和城乡建设系统地方性法规规章行政处罚裁量基准》的起草说明</w:t>
      </w:r>
    </w:p>
    <w:p>
      <w:pPr>
        <w:keepNext w:val="0"/>
        <w:keepLines w:val="0"/>
        <w:pageBreakBefore w:val="0"/>
        <w:widowControl w:val="0"/>
        <w:kinsoku/>
        <w:wordWrap/>
        <w:overflowPunct/>
        <w:topLinePunct w:val="0"/>
        <w:autoSpaceDE/>
        <w:autoSpaceDN/>
        <w:bidi w:val="0"/>
        <w:adjustRightInd/>
        <w:snapToGrid/>
        <w:spacing w:before="313" w:beforeLines="100"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一、起草背景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为贯彻落实《国务院办公厅关于进一步规范行政裁量基准制定和管理工作的意见》（国办发</w:t>
      </w:r>
      <w:r>
        <w:rPr>
          <w:rFonts w:hint="eastAsia" w:ascii="仿宋_GB2312" w:hAnsi="宋体" w:eastAsia="仿宋_GB2312"/>
          <w:bCs/>
          <w:kern w:val="0"/>
          <w:sz w:val="32"/>
          <w:szCs w:val="32"/>
        </w:rPr>
        <w:t>〔</w:t>
      </w:r>
      <w:r>
        <w:rPr>
          <w:rFonts w:hint="eastAsia" w:ascii="仿宋_GB2312" w:hAnsi="仿宋_GB2312" w:eastAsia="仿宋_GB2312" w:cs="仿宋_GB2312"/>
          <w:sz w:val="32"/>
          <w:szCs w:val="32"/>
          <w:lang w:val="en-US" w:eastAsia="zh-CN"/>
        </w:rPr>
        <w:t>2022</w:t>
      </w:r>
      <w:r>
        <w:rPr>
          <w:rFonts w:hint="eastAsia" w:ascii="仿宋_GB2312" w:hAnsi="宋体" w:eastAsia="仿宋_GB2312"/>
          <w:bCs/>
          <w:kern w:val="0"/>
          <w:sz w:val="32"/>
          <w:szCs w:val="32"/>
        </w:rPr>
        <w:t>〕</w:t>
      </w:r>
      <w:r>
        <w:rPr>
          <w:rFonts w:hint="eastAsia" w:ascii="仿宋_GB2312" w:hAnsi="仿宋_GB2312" w:eastAsia="仿宋_GB2312" w:cs="仿宋_GB2312"/>
          <w:sz w:val="32"/>
          <w:szCs w:val="32"/>
          <w:lang w:val="en-US" w:eastAsia="zh-CN"/>
        </w:rPr>
        <w:t>27号</w:t>
      </w:r>
      <w:r>
        <w:rPr>
          <w:rFonts w:hint="eastAsia" w:ascii="仿宋_GB2312" w:hAnsi="仿宋_GB2312" w:eastAsia="仿宋_GB2312" w:cs="仿宋_GB2312"/>
          <w:sz w:val="32"/>
          <w:szCs w:val="32"/>
          <w:lang w:eastAsia="zh-CN"/>
        </w:rPr>
        <w:t>）和《山东省规范行政处罚裁量权办法》的规定，进一步规范行政裁量权基准，我局就威海市</w:t>
      </w:r>
      <w:r>
        <w:rPr>
          <w:rFonts w:hint="eastAsia" w:ascii="仿宋_GB2312" w:hAnsi="仿宋_GB2312" w:eastAsia="仿宋_GB2312" w:cs="仿宋_GB2312"/>
          <w:sz w:val="32"/>
          <w:szCs w:val="32"/>
          <w:lang w:val="en" w:eastAsia="zh-CN"/>
        </w:rPr>
        <w:t>地方性法规和政府规章设定行政处罚事项，梳理了我局牵头起草以及负责落实的的法规、规章中行政处罚事项裁量基准，在</w:t>
      </w:r>
      <w:r>
        <w:rPr>
          <w:rFonts w:hint="eastAsia" w:ascii="仿宋_GB2312" w:hAnsi="仿宋_GB2312" w:eastAsia="仿宋_GB2312" w:cs="仿宋_GB2312"/>
          <w:sz w:val="32"/>
          <w:szCs w:val="32"/>
          <w:lang w:val="en-US" w:eastAsia="zh-CN"/>
        </w:rPr>
        <w:t>《威海市住房和城乡建设系统行政处罚裁量基准（二）》（威住建通字〔2022〕140号）的基础上，</w:t>
      </w:r>
      <w:r>
        <w:rPr>
          <w:rFonts w:hint="eastAsia" w:ascii="仿宋_GB2312" w:hAnsi="仿宋_GB2312" w:eastAsia="仿宋_GB2312" w:cs="仿宋_GB2312"/>
          <w:sz w:val="32"/>
          <w:szCs w:val="32"/>
          <w:lang w:val="en" w:eastAsia="zh-CN"/>
        </w:rPr>
        <w:t>对已经制定的裁量基准进行修改完善或补充规定，对尚未制定裁量基准的行政处罚事项制定裁量基准。起草了《威海市住房和城乡建设系统地方性法规规章行政处罚裁量基准》，共</w:t>
      </w:r>
      <w:r>
        <w:rPr>
          <w:rFonts w:hint="eastAsia" w:ascii="仿宋_GB2312" w:hAnsi="仿宋_GB2312" w:eastAsia="仿宋_GB2312" w:cs="仿宋_GB2312"/>
          <w:sz w:val="32"/>
          <w:szCs w:val="32"/>
          <w:lang w:val="en-US" w:eastAsia="zh-CN"/>
        </w:rPr>
        <w:t>52项。</w:t>
      </w:r>
      <w:r>
        <w:rPr>
          <w:rFonts w:hint="eastAsia" w:ascii="仿宋_GB2312" w:hAnsi="仿宋_GB2312" w:eastAsia="仿宋_GB2312" w:cs="仿宋_GB2312"/>
          <w:sz w:val="32"/>
          <w:szCs w:val="32"/>
          <w:lang w:eastAsia="zh-CN"/>
        </w:rPr>
        <w:t>根据市司法局的要求，需要对裁量基准进行公布、备案。</w:t>
      </w:r>
    </w:p>
    <w:p>
      <w:pPr>
        <w:pStyle w:val="2"/>
        <w:numPr>
          <w:ilvl w:val="0"/>
          <w:numId w:val="0"/>
        </w:numPr>
        <w:ind w:leftChars="0"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二、起草过程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政策法规科牵头对地方性法规、政府规章设定的行政处罚事项进行了梳理汇总，按职责交由各科室、单位对处罚事项进行细化并征求相关单位科室的意见，就文件内容达成一致，履行了公开征求意见、政府法律顾问、公职律师审查等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梳理的标准：本裁量权基准的裁量阶次按照具体情况划分，无裁量空间的不设定裁量阶次，采用两个裁量阶次的设定一般、严重两档，采用三个裁量阶次的设定一般、较重、严重三档，采用四个裁量阶次的设定较轻、一般、较重、严重四档。</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b w:val="0"/>
          <w:bCs w:val="0"/>
          <w:lang w:val="en-US" w:eastAsia="zh-CN"/>
        </w:rPr>
      </w:pPr>
      <w:r>
        <w:rPr>
          <w:rFonts w:hint="eastAsia" w:ascii="仿宋_GB2312" w:hAnsi="仿宋_GB2312" w:eastAsia="仿宋_GB2312" w:cs="仿宋_GB2312"/>
          <w:color w:val="auto"/>
          <w:sz w:val="32"/>
          <w:szCs w:val="32"/>
          <w:lang w:val="en-US" w:eastAsia="zh-CN"/>
        </w:rPr>
        <w:t>威海市制定出台的地方性法规和政府规章设定的行政处罚事项使用本裁量基准，共</w:t>
      </w:r>
      <w:r>
        <w:rPr>
          <w:rFonts w:hint="eastAsia" w:ascii="仿宋_GB2312" w:hAnsi="仿宋_GB2312" w:eastAsia="仿宋_GB2312" w:cs="仿宋_GB2312"/>
          <w:b w:val="0"/>
          <w:bCs w:val="0"/>
          <w:sz w:val="32"/>
          <w:szCs w:val="32"/>
          <w:lang w:val="en-US" w:eastAsia="zh-CN"/>
        </w:rPr>
        <w:t>52项。</w:t>
      </w:r>
      <w:r>
        <w:rPr>
          <w:rFonts w:hint="eastAsia" w:ascii="仿宋_GB2312" w:hAnsi="仿宋_GB2312" w:eastAsia="仿宋_GB2312" w:cs="仿宋_GB2312"/>
          <w:color w:val="auto"/>
          <w:sz w:val="32"/>
          <w:szCs w:val="32"/>
          <w:lang w:val="en-US" w:eastAsia="zh-CN"/>
        </w:rPr>
        <w:t>法律、行政法规、行政规章、省人大常委会制定的地方性法规和省人民政府制定的政府规章适用省裁量基准。</w:t>
      </w:r>
      <w:r>
        <w:rPr>
          <w:rFonts w:hint="eastAsia" w:ascii="仿宋_GB2312" w:hAnsi="仿宋_GB2312" w:eastAsia="仿宋_GB2312" w:cs="仿宋_GB2312"/>
          <w:color w:val="auto"/>
          <w:sz w:val="32"/>
          <w:szCs w:val="32"/>
          <w:lang w:eastAsia="zh-CN"/>
        </w:rPr>
        <w:t>各区市执法部门可以在《裁量基准》规定基础上，对裁量阶次、适用条件和处罚标准作出更加具体的规定。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修改的裁量基准，《威海市物业管理办法》1项：对建设单位销售商品房时未以图文形式向买受人明示物业管理区域范围、物业共用部位、共用设施设备名称等信息的处罚。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新增的裁量基准，《威海市文明行为促进条例》3项：1.对随地吐痰、便溺，乱扔垃圾、乱倒污水的处罚。2.对在公园、道路及其两侧等公共场所抛撒冥纸，焚烧冥纸、逝者遗物和其他丧葬祭奠物品的处罚。3.对从建筑物、构筑物向外抛掷物品的处罚。《威海市燃气管理办法》2项：1.对违反本办法第十五条第二款规定，燃气经营企业为不具备安全使用条件的燃气用户提供服务的处罚。2.对违反本办法第十六条规定，瓶装液化石油气经营企业未落实配送服务的处罚；对违反本办法第十八条第一款规定，瓶装液化石油气经营企业配送人员未进行一般性安全检查，或者检查记录与实际情况不符的处罚；对违反本办法第十九条规定，瓶装液化石油气经营企业销售记录不全的处罚。</w:t>
      </w:r>
    </w:p>
    <w:p>
      <w:pPr>
        <w:numPr>
          <w:ilvl w:val="0"/>
          <w:numId w:val="0"/>
        </w:numPr>
        <w:ind w:firstLine="640" w:firstLineChars="200"/>
        <w:rPr>
          <w:rFonts w:hint="eastAsia" w:ascii="仿宋" w:hAnsi="仿宋" w:eastAsia="仿宋" w:cs="仿宋"/>
          <w:sz w:val="32"/>
          <w:szCs w:val="32"/>
          <w:lang w:val="en" w:eastAsia="zh-CN"/>
        </w:rPr>
      </w:pPr>
    </w:p>
    <w:p>
      <w:pPr>
        <w:ind w:firstLine="640" w:firstLineChars="200"/>
        <w:jc w:val="center"/>
        <w:rPr>
          <w:rFonts w:hint="eastAsia" w:ascii="仿宋_GB2312" w:hAnsi="仿宋_GB2312" w:eastAsia="仿宋_GB2312" w:cs="仿宋_GB2312"/>
          <w:sz w:val="32"/>
          <w:szCs w:val="32"/>
          <w:lang w:val="en" w:eastAsia="zh-CN"/>
        </w:rPr>
      </w:pPr>
    </w:p>
    <w:p>
      <w:pPr>
        <w:ind w:firstLine="640" w:firstLineChars="200"/>
        <w:jc w:val="center"/>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 w:eastAsia="zh-CN"/>
        </w:rPr>
        <w:t>威海市住房和城乡建设局</w:t>
      </w:r>
    </w:p>
    <w:p>
      <w:pPr>
        <w:ind w:firstLine="640" w:firstLineChars="20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2024年9月13日</w:t>
      </w:r>
    </w:p>
    <w:p>
      <w:pPr>
        <w:rPr>
          <w:rFonts w:hint="default" w:ascii="仿宋" w:hAnsi="仿宋" w:eastAsia="仿宋" w:cs="仿宋"/>
          <w:sz w:val="32"/>
          <w:szCs w:val="32"/>
          <w:lang w:val="en-US" w:eastAsia="zh-CN"/>
        </w:rPr>
      </w:pPr>
    </w:p>
    <w:p>
      <w:pPr>
        <w:pStyle w:val="2"/>
        <w:numPr>
          <w:ilvl w:val="0"/>
          <w:numId w:val="0"/>
        </w:numPr>
        <w:ind w:leftChars="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D3230"/>
    <w:multiLevelType w:val="multilevel"/>
    <w:tmpl w:val="23BD3230"/>
    <w:lvl w:ilvl="0" w:tentative="0">
      <w:start w:val="1"/>
      <w:numFmt w:val="decimal"/>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850" w:hanging="708"/>
      </w:pPr>
      <w:rPr>
        <w:rFonts w:hint="eastAsia" w:cs="Times New Roman"/>
      </w:rPr>
    </w:lvl>
    <w:lvl w:ilvl="4" w:tentative="0">
      <w:start w:val="1"/>
      <w:numFmt w:val="decimal"/>
      <w:pStyle w:val="2"/>
      <w:lvlText w:val="%1.%2.%3.%4.%5"/>
      <w:lvlJc w:val="left"/>
      <w:pPr>
        <w:ind w:left="2551" w:hanging="850"/>
      </w:pPr>
      <w:rPr>
        <w:rFonts w:hint="eastAsia" w:cs="Times New Roman"/>
      </w:rPr>
    </w:lvl>
    <w:lvl w:ilvl="5" w:tentative="0">
      <w:start w:val="1"/>
      <w:numFmt w:val="decimal"/>
      <w:lvlText w:val="%1.%2.%3.%4.%5.%6"/>
      <w:lvlJc w:val="left"/>
      <w:pPr>
        <w:ind w:left="1134"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EB28C5"/>
    <w:rsid w:val="0C136241"/>
    <w:rsid w:val="3DFBDF65"/>
    <w:rsid w:val="3FBD9338"/>
    <w:rsid w:val="4F15BF07"/>
    <w:rsid w:val="7BBF0DE9"/>
    <w:rsid w:val="EBEB28C5"/>
    <w:rsid w:val="F7CF198E"/>
    <w:rsid w:val="FDAD92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qFormat/>
    <w:uiPriority w:val="0"/>
    <w:pPr>
      <w:keepNext/>
      <w:keepLines/>
      <w:widowControl w:val="0"/>
      <w:numPr>
        <w:ilvl w:val="4"/>
        <w:numId w:val="1"/>
      </w:numPr>
      <w:ind w:left="851" w:hanging="851"/>
      <w:jc w:val="both"/>
      <w:outlineLvl w:val="4"/>
    </w:pPr>
    <w:rPr>
      <w:rFonts w:ascii="Calibri" w:hAnsi="Calibri" w:eastAsia="宋体" w:cs="Times New Roman"/>
      <w:b/>
      <w:bCs/>
      <w:kern w:val="2"/>
      <w:sz w:val="21"/>
      <w:szCs w:val="28"/>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5.33333333333333</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2024-09-13T18:17:00Z</dcterms:created>
  <dc:creator>user</dc:creator>
  <cp:lastModifiedBy>毕宜天</cp:lastModifiedBy>
  <dcterms:modified xsi:type="dcterms:W3CDTF">2024-09-13T07:24:52Z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824F3436F01243B8B8D5C8D0908E4487</vt:lpwstr>
  </property>
</Properties>
</file>