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lang w:eastAsia="zh-CN"/>
        </w:rPr>
      </w:pPr>
      <w:r>
        <w:rPr>
          <w:rFonts w:hint="eastAsia" w:ascii="文星简小标宋" w:hAnsi="文星简小标宋" w:eastAsia="文星简小标宋" w:cs="文星简小标宋"/>
          <w:b w:val="0"/>
          <w:bCs w:val="0"/>
          <w:color w:val="auto"/>
          <w:sz w:val="44"/>
          <w:szCs w:val="44"/>
          <w:lang w:val="en-US" w:eastAsia="zh-CN"/>
        </w:rPr>
        <w:t>威海市区城市绿化养护管理办法（修改草案）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（征求意见稿</w:t>
      </w:r>
      <w:bookmarkStart w:id="0" w:name="_GoBack"/>
      <w:bookmarkEnd w:id="0"/>
      <w:r>
        <w:rPr>
          <w:rFonts w:hint="eastAsia" w:ascii="楷体_GB2312" w:hAnsi="楷体_GB2312" w:eastAsia="楷体_GB2312" w:cs="楷体_GB2312"/>
          <w:color w:val="auto"/>
          <w:sz w:val="32"/>
          <w:szCs w:val="32"/>
          <w:lang w:eastAsia="zh-CN"/>
        </w:rPr>
        <w:t>）</w:t>
      </w: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第一条</w:t>
      </w:r>
      <w:r>
        <w:rPr>
          <w:rFonts w:hint="eastAsia" w:ascii="仿宋_GB2312" w:hAnsi="仿宋_GB2312" w:eastAsia="仿宋_GB2312" w:cs="仿宋_GB2312"/>
          <w:color w:val="auto"/>
          <w:sz w:val="32"/>
          <w:szCs w:val="32"/>
          <w:lang w:val="en-US" w:eastAsia="zh-CN"/>
        </w:rPr>
        <w:t>  为加强城市绿化养护管理，保护和改善城市生态环境，根据《城市绿化条例》、《山东省城市绿化管理办法》等法规规章，结合我市实际，制定本办法。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第二条</w:t>
      </w:r>
      <w:r>
        <w:rPr>
          <w:rFonts w:hint="eastAsia" w:ascii="仿宋_GB2312" w:hAnsi="仿宋_GB2312" w:eastAsia="仿宋_GB2312" w:cs="仿宋_GB2312"/>
          <w:color w:val="auto"/>
          <w:sz w:val="32"/>
          <w:szCs w:val="32"/>
          <w:lang w:val="en-US" w:eastAsia="zh-CN"/>
        </w:rPr>
        <w:t>  威海市城市规划区及临港经济技术开发区汪疃镇、苘山镇范围内的城市绿化养护管理工作，适用本办法。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第三条</w:t>
      </w:r>
      <w:r>
        <w:rPr>
          <w:rFonts w:hint="eastAsia" w:ascii="仿宋_GB2312" w:hAnsi="仿宋_GB2312" w:eastAsia="仿宋_GB2312" w:cs="仿宋_GB2312"/>
          <w:color w:val="auto"/>
          <w:sz w:val="32"/>
          <w:szCs w:val="32"/>
          <w:lang w:val="en-US" w:eastAsia="zh-CN"/>
        </w:rPr>
        <w:t>  </w:t>
      </w:r>
      <w:r>
        <w:rPr>
          <w:rFonts w:hint="eastAsia" w:ascii="仿宋_GB2312" w:hAnsi="仿宋_GB2312" w:eastAsia="仿宋_GB2312" w:cs="仿宋_GB2312"/>
          <w:strike w:val="0"/>
          <w:dstrike w:val="0"/>
          <w:color w:val="auto"/>
          <w:sz w:val="32"/>
          <w:szCs w:val="32"/>
          <w:lang w:val="en-US" w:eastAsia="zh-CN"/>
        </w:rPr>
        <w:t>威海市住房和城乡建设局，</w:t>
      </w:r>
      <w:r>
        <w:rPr>
          <w:rFonts w:hint="eastAsia" w:ascii="仿宋_GB2312" w:hAnsi="仿宋_GB2312" w:eastAsia="仿宋_GB2312" w:cs="仿宋_GB2312"/>
          <w:color w:val="auto"/>
          <w:sz w:val="32"/>
          <w:szCs w:val="32"/>
          <w:lang w:val="en-US" w:eastAsia="zh-CN"/>
        </w:rPr>
        <w:t>是市区城市绿化养护管理工作的行政主管部门，负责市区城市绿化养护标准的制定及考核工作，并具体负责市政府划定区域的城市绿化养护管理工作。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环翠区、高技术产业开发区、经济技术开发区、临港经济技术开发区、</w:t>
      </w:r>
      <w:r>
        <w:rPr>
          <w:rFonts w:hint="eastAsia" w:ascii="仿宋_GB2312" w:hAnsi="仿宋_GB2312" w:eastAsia="仿宋_GB2312" w:cs="仿宋_GB2312"/>
          <w:strike w:val="0"/>
          <w:dstrike w:val="0"/>
          <w:color w:val="auto"/>
          <w:sz w:val="32"/>
          <w:szCs w:val="32"/>
          <w:lang w:val="en-US" w:eastAsia="zh-CN"/>
        </w:rPr>
        <w:t>文登区</w:t>
      </w:r>
      <w:r>
        <w:rPr>
          <w:rFonts w:hint="eastAsia" w:ascii="仿宋_GB2312" w:hAnsi="仿宋_GB2312" w:eastAsia="仿宋_GB2312" w:cs="仿宋_GB2312"/>
          <w:color w:val="auto"/>
          <w:sz w:val="32"/>
          <w:szCs w:val="32"/>
          <w:lang w:val="en-US" w:eastAsia="zh-CN"/>
        </w:rPr>
        <w:t>城市绿化养护主管部门负责各自绿化管理范围内的城市绿化养护管理工作。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财政、</w:t>
      </w:r>
      <w:r>
        <w:rPr>
          <w:rFonts w:hint="eastAsia" w:ascii="仿宋_GB2312" w:hAnsi="仿宋_GB2312" w:eastAsia="仿宋_GB2312" w:cs="仿宋_GB2312"/>
          <w:strike w:val="0"/>
          <w:dstrike w:val="0"/>
          <w:color w:val="auto"/>
          <w:sz w:val="32"/>
          <w:szCs w:val="32"/>
          <w:lang w:val="en-US" w:eastAsia="zh-CN"/>
        </w:rPr>
        <w:t>公安</w:t>
      </w:r>
      <w:r>
        <w:rPr>
          <w:rFonts w:hint="eastAsia" w:ascii="黑体" w:hAnsi="黑体" w:eastAsia="黑体" w:cs="黑体"/>
          <w:color w:val="auto"/>
          <w:sz w:val="32"/>
          <w:szCs w:val="32"/>
          <w:lang w:val="en-US" w:eastAsia="zh-CN"/>
        </w:rPr>
        <w:t>、</w:t>
      </w:r>
      <w:r>
        <w:rPr>
          <w:rFonts w:hint="eastAsia" w:ascii="仿宋_GB2312" w:hAnsi="仿宋_GB2312" w:eastAsia="仿宋_GB2312" w:cs="仿宋_GB2312"/>
          <w:color w:val="auto"/>
          <w:sz w:val="32"/>
          <w:szCs w:val="32"/>
          <w:lang w:val="en-US" w:eastAsia="zh-CN"/>
        </w:rPr>
        <w:t>城管执法等有关职能部门应当按照各自职责，共同做好城市绿化养护管理工作。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trike w:val="0"/>
          <w:dstrike w:val="0"/>
          <w:color w:val="auto"/>
          <w:sz w:val="32"/>
          <w:szCs w:val="32"/>
          <w:lang w:val="en-US" w:eastAsia="zh-CN"/>
        </w:rPr>
      </w:pPr>
      <w:r>
        <w:rPr>
          <w:rFonts w:hint="eastAsia" w:ascii="黑体" w:hAnsi="黑体" w:eastAsia="黑体" w:cs="黑体"/>
          <w:color w:val="auto"/>
          <w:sz w:val="32"/>
          <w:szCs w:val="32"/>
          <w:lang w:val="en-US" w:eastAsia="zh-CN"/>
        </w:rPr>
        <w:t>第四条</w:t>
      </w:r>
      <w:r>
        <w:rPr>
          <w:rFonts w:hint="eastAsia" w:ascii="仿宋_GB2312" w:hAnsi="仿宋_GB2312" w:eastAsia="仿宋_GB2312" w:cs="仿宋_GB2312"/>
          <w:color w:val="auto"/>
          <w:sz w:val="32"/>
          <w:szCs w:val="32"/>
          <w:lang w:val="en-US" w:eastAsia="zh-CN"/>
        </w:rPr>
        <w:t>  城市公园、广场绿地、街道小游园及城市道路绿化带的养护管理，由城市绿化养护主管部门按照确定的职责分工负责；单位附属绿地的养护管理，由产权单位负责；单位生产、经营办公场所周围责任区内绿地的养护管理，由责任单位负责；住宅小区绿地的养护管理，由小区物业服务企业负责，</w:t>
      </w:r>
      <w:r>
        <w:rPr>
          <w:rFonts w:hint="eastAsia" w:ascii="仿宋_GB2312" w:hAnsi="仿宋_GB2312" w:eastAsia="仿宋_GB2312" w:cs="仿宋_GB2312"/>
          <w:strike w:val="0"/>
          <w:dstrike w:val="0"/>
          <w:color w:val="auto"/>
          <w:sz w:val="32"/>
          <w:szCs w:val="32"/>
          <w:lang w:val="en-US" w:eastAsia="zh-CN"/>
        </w:rPr>
        <w:t>未实行物业管理的，由建设单位或者产权单位负责。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trike w:val="0"/>
          <w:dstrike w:val="0"/>
          <w:color w:val="auto"/>
          <w:sz w:val="32"/>
          <w:szCs w:val="32"/>
          <w:lang w:val="en-US" w:eastAsia="zh-CN"/>
        </w:rPr>
      </w:pPr>
      <w:r>
        <w:rPr>
          <w:rFonts w:hint="eastAsia" w:ascii="仿宋_GB2312" w:hAnsi="仿宋_GB2312" w:eastAsia="仿宋_GB2312" w:cs="仿宋_GB2312"/>
          <w:strike w:val="0"/>
          <w:dstrike w:val="0"/>
          <w:color w:val="auto"/>
          <w:sz w:val="32"/>
          <w:szCs w:val="32"/>
          <w:lang w:val="en-US" w:eastAsia="zh-CN"/>
        </w:rPr>
        <w:t>管理责任不明确的城市绿地，由城市绿化主管部门确定责任单位。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第五条</w:t>
      </w:r>
      <w:r>
        <w:rPr>
          <w:rFonts w:hint="eastAsia" w:ascii="仿宋_GB2312" w:hAnsi="仿宋_GB2312" w:eastAsia="仿宋_GB2312" w:cs="仿宋_GB2312"/>
          <w:color w:val="auto"/>
          <w:sz w:val="32"/>
          <w:szCs w:val="32"/>
          <w:lang w:val="en-US" w:eastAsia="zh-CN"/>
        </w:rPr>
        <w:t>  鼓励单位和个人认养城市公共绿地，认养不得改变原有植被和绿地的性质及功能。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第六条</w:t>
      </w:r>
      <w:r>
        <w:rPr>
          <w:rFonts w:hint="eastAsia" w:ascii="仿宋_GB2312" w:hAnsi="仿宋_GB2312" w:eastAsia="仿宋_GB2312" w:cs="仿宋_GB2312"/>
          <w:color w:val="auto"/>
          <w:sz w:val="32"/>
          <w:szCs w:val="32"/>
          <w:lang w:val="en-US" w:eastAsia="zh-CN"/>
        </w:rPr>
        <w:t>  城市绿化养护实行分</w:t>
      </w:r>
      <w:r>
        <w:rPr>
          <w:rFonts w:hint="eastAsia" w:ascii="仿宋_GB2312" w:hAnsi="仿宋_GB2312" w:eastAsia="仿宋_GB2312" w:cs="仿宋_GB2312"/>
          <w:color w:val="auto"/>
          <w:sz w:val="32"/>
          <w:szCs w:val="32"/>
          <w:shd w:val="clear" w:color="auto" w:fill="auto"/>
          <w:lang w:val="en-US" w:eastAsia="zh-CN"/>
        </w:rPr>
        <w:t>级管</w:t>
      </w:r>
      <w:r>
        <w:rPr>
          <w:rFonts w:hint="eastAsia" w:ascii="仿宋_GB2312" w:hAnsi="仿宋_GB2312" w:eastAsia="仿宋_GB2312" w:cs="仿宋_GB2312"/>
          <w:color w:val="auto"/>
          <w:sz w:val="32"/>
          <w:szCs w:val="32"/>
          <w:lang w:val="en-US" w:eastAsia="zh-CN"/>
        </w:rPr>
        <w:t>理，执行市区城市绿化养护标准。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第七条</w:t>
      </w:r>
      <w:r>
        <w:rPr>
          <w:rFonts w:hint="eastAsia" w:ascii="仿宋_GB2312" w:hAnsi="仿宋_GB2312" w:eastAsia="仿宋_GB2312" w:cs="仿宋_GB2312"/>
          <w:color w:val="auto"/>
          <w:sz w:val="32"/>
          <w:szCs w:val="32"/>
          <w:lang w:val="en-US" w:eastAsia="zh-CN"/>
        </w:rPr>
        <w:t>  城市绿化主管部门应当按照</w:t>
      </w:r>
      <w:r>
        <w:rPr>
          <w:rFonts w:hint="eastAsia" w:ascii="仿宋_GB2312" w:hAnsi="仿宋_GB2312" w:eastAsia="仿宋_GB2312" w:cs="仿宋_GB2312"/>
          <w:strike w:val="0"/>
          <w:dstrike w:val="0"/>
          <w:color w:val="auto"/>
          <w:sz w:val="32"/>
          <w:szCs w:val="32"/>
          <w:lang w:val="en-US" w:eastAsia="zh-CN"/>
        </w:rPr>
        <w:t>各自职责、管理范围和</w:t>
      </w:r>
      <w:r>
        <w:rPr>
          <w:rFonts w:hint="eastAsia" w:ascii="仿宋_GB2312" w:hAnsi="仿宋_GB2312" w:eastAsia="仿宋_GB2312" w:cs="仿宋_GB2312"/>
          <w:color w:val="auto"/>
          <w:sz w:val="32"/>
          <w:szCs w:val="32"/>
          <w:lang w:val="en-US" w:eastAsia="zh-CN"/>
        </w:rPr>
        <w:t>绿化养护技术标准制定绿化养护方案，</w:t>
      </w:r>
      <w:r>
        <w:rPr>
          <w:rFonts w:hint="eastAsia" w:ascii="仿宋_GB2312" w:hAnsi="仿宋_GB2312" w:eastAsia="仿宋_GB2312" w:cs="仿宋_GB2312"/>
          <w:strike w:val="0"/>
          <w:dstrike w:val="0"/>
          <w:color w:val="auto"/>
          <w:sz w:val="32"/>
          <w:szCs w:val="32"/>
          <w:lang w:val="en-US" w:eastAsia="zh-CN"/>
        </w:rPr>
        <w:t>明确养护管理目标和任务，</w:t>
      </w:r>
      <w:r>
        <w:rPr>
          <w:rFonts w:hint="eastAsia" w:ascii="仿宋_GB2312" w:hAnsi="仿宋_GB2312" w:eastAsia="仿宋_GB2312" w:cs="仿宋_GB2312"/>
          <w:color w:val="auto"/>
          <w:sz w:val="32"/>
          <w:szCs w:val="32"/>
          <w:lang w:val="en-US" w:eastAsia="zh-CN"/>
        </w:rPr>
        <w:t>指导责任单位开展绿化日常管理和专业化、精细化养护，并建立和完善城市绿化养护管理档案。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第八条</w:t>
      </w:r>
      <w:r>
        <w:rPr>
          <w:rFonts w:hint="eastAsia" w:ascii="仿宋_GB2312" w:hAnsi="仿宋_GB2312" w:eastAsia="仿宋_GB2312" w:cs="仿宋_GB2312"/>
          <w:color w:val="auto"/>
          <w:sz w:val="32"/>
          <w:szCs w:val="32"/>
          <w:lang w:val="en-US" w:eastAsia="zh-CN"/>
        </w:rPr>
        <w:t>  城市绿化养护项目应按规定通过公开招标方式确定养护单位。招标工作由城市绿化养护主管部门按照各自权限和管理范围自行组织。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财政、审计、监察等部门应按照各自职责切实加强对招标工作的监督管理。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第九条</w:t>
      </w:r>
      <w:r>
        <w:rPr>
          <w:rFonts w:hint="eastAsia" w:ascii="仿宋_GB2312" w:hAnsi="仿宋_GB2312" w:eastAsia="仿宋_GB2312" w:cs="仿宋_GB2312"/>
          <w:color w:val="auto"/>
          <w:sz w:val="32"/>
          <w:szCs w:val="32"/>
          <w:lang w:val="en-US" w:eastAsia="zh-CN"/>
        </w:rPr>
        <w:t>  参加城市绿化养护投标的企业，</w:t>
      </w:r>
      <w:r>
        <w:rPr>
          <w:rFonts w:hint="eastAsia" w:ascii="仿宋_GB2312" w:hAnsi="仿宋_GB2312" w:eastAsia="仿宋_GB2312" w:cs="仿宋_GB2312"/>
          <w:strike w:val="0"/>
          <w:dstrike w:val="0"/>
          <w:color w:val="auto"/>
          <w:sz w:val="32"/>
          <w:szCs w:val="32"/>
          <w:lang w:val="en-US" w:eastAsia="zh-CN"/>
        </w:rPr>
        <w:t>应具有相应园林养护经验，并在人员配备、</w:t>
      </w:r>
      <w:r>
        <w:rPr>
          <w:rFonts w:hint="eastAsia" w:ascii="仿宋_GB2312" w:hAnsi="仿宋_GB2312" w:eastAsia="仿宋_GB2312" w:cs="仿宋_GB2312"/>
          <w:color w:val="auto"/>
          <w:sz w:val="32"/>
          <w:szCs w:val="32"/>
          <w:lang w:val="en-US" w:eastAsia="zh-CN"/>
        </w:rPr>
        <w:t>技术、设备等方面满足城市绿化养护需要。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第十条</w:t>
      </w:r>
      <w:r>
        <w:rPr>
          <w:rFonts w:hint="eastAsia" w:ascii="仿宋_GB2312" w:hAnsi="仿宋_GB2312" w:eastAsia="仿宋_GB2312" w:cs="仿宋_GB2312"/>
          <w:color w:val="auto"/>
          <w:sz w:val="32"/>
          <w:szCs w:val="32"/>
          <w:lang w:val="en-US" w:eastAsia="zh-CN"/>
        </w:rPr>
        <w:t>  城市绿化养护主管部门应与中标的养护单位依法签订养护合同，养护期不少于2年。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第十一条</w:t>
      </w:r>
      <w:r>
        <w:rPr>
          <w:rFonts w:hint="eastAsia" w:ascii="仿宋_GB2312" w:hAnsi="仿宋_GB2312" w:eastAsia="仿宋_GB2312" w:cs="仿宋_GB2312"/>
          <w:color w:val="auto"/>
          <w:sz w:val="32"/>
          <w:szCs w:val="32"/>
          <w:lang w:val="en-US" w:eastAsia="zh-CN"/>
        </w:rPr>
        <w:t>  养护单位和认养人应严格按照市区城市绿化养护管理标准进行养护管理，保证城市绿化养护质量。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第十二条</w:t>
      </w:r>
      <w:r>
        <w:rPr>
          <w:rFonts w:hint="eastAsia" w:ascii="仿宋_GB2312" w:hAnsi="仿宋_GB2312" w:eastAsia="仿宋_GB2312" w:cs="仿宋_GB2312"/>
          <w:color w:val="auto"/>
          <w:sz w:val="32"/>
          <w:szCs w:val="32"/>
          <w:lang w:val="en-US" w:eastAsia="zh-CN"/>
        </w:rPr>
        <w:t>  因园林树木倾倒危及行人、道路交通安全时，养护单位应及时采取相关补救措施，保障行人及城市交通安全。有下列情形之一的树木，应及时砍伐、更新。树木属于单位和个人所有的，树木所有者应该及时报告城市绿化主管部门，并按照要求砍伐、更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（一）树龄已达到更新期或者自然枯死的；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（二）有严重病虫害无法挽救的；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（三）严重枯朽或者倾斜，妨碍交通或者危及人身、建筑物以及其他设施安全的；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（四）因其他自然原因需要砍伐或者更新的。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第十三条</w:t>
      </w:r>
      <w:r>
        <w:rPr>
          <w:rFonts w:hint="eastAsia" w:ascii="仿宋_GB2312" w:hAnsi="仿宋_GB2312" w:eastAsia="仿宋_GB2312" w:cs="仿宋_GB2312"/>
          <w:color w:val="auto"/>
          <w:sz w:val="32"/>
          <w:szCs w:val="32"/>
          <w:lang w:val="en-US" w:eastAsia="zh-CN"/>
        </w:rPr>
        <w:t>  养护单位和认养人应按照国家有关规定，加强对树木花草病虫害的调查与监测，认真做好植物病虫害及其他自然灾害的防治工作。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第十四条</w:t>
      </w:r>
      <w:r>
        <w:rPr>
          <w:rFonts w:hint="eastAsia" w:ascii="仿宋_GB2312" w:hAnsi="仿宋_GB2312" w:eastAsia="仿宋_GB2312" w:cs="仿宋_GB2312"/>
          <w:color w:val="auto"/>
          <w:sz w:val="32"/>
          <w:szCs w:val="32"/>
          <w:lang w:val="en-US" w:eastAsia="zh-CN"/>
        </w:rPr>
        <w:t>  在重大公共活动和重要接待活动期间，养护单位应按照城市绿化养护主管部门的部署和要求，在重点区域和路段</w:t>
      </w:r>
      <w:r>
        <w:rPr>
          <w:rFonts w:hint="eastAsia" w:ascii="仿宋_GB2312" w:hAnsi="仿宋_GB2312" w:eastAsia="仿宋_GB2312" w:cs="仿宋_GB2312"/>
          <w:strike w:val="0"/>
          <w:dstrike w:val="0"/>
          <w:color w:val="auto"/>
          <w:sz w:val="32"/>
          <w:szCs w:val="32"/>
          <w:lang w:val="en-US" w:eastAsia="zh-CN"/>
        </w:rPr>
        <w:t>进行景观优化提升。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trike w:val="0"/>
          <w:dstrike w:val="0"/>
          <w:color w:val="auto"/>
          <w:sz w:val="32"/>
          <w:szCs w:val="32"/>
          <w:lang w:val="en-US" w:eastAsia="zh-CN"/>
        </w:rPr>
      </w:pPr>
      <w:r>
        <w:rPr>
          <w:rFonts w:hint="eastAsia" w:ascii="黑体" w:hAnsi="黑体" w:eastAsia="黑体" w:cs="黑体"/>
          <w:color w:val="auto"/>
          <w:sz w:val="32"/>
          <w:szCs w:val="32"/>
          <w:lang w:val="en-US" w:eastAsia="zh-CN"/>
        </w:rPr>
        <w:t>第十五条</w:t>
      </w:r>
      <w:r>
        <w:rPr>
          <w:rFonts w:hint="eastAsia" w:ascii="仿宋_GB2312" w:hAnsi="仿宋_GB2312" w:eastAsia="仿宋_GB2312" w:cs="仿宋_GB2312"/>
          <w:color w:val="auto"/>
          <w:sz w:val="32"/>
          <w:szCs w:val="32"/>
          <w:lang w:val="en-US" w:eastAsia="zh-CN"/>
        </w:rPr>
        <w:t>  任何单位和个人不得擅自破挖、占用城市绿地，因建设或其他特殊需要破挖或占用城市绿地的，须经绿化主管部门同意，按有关规定办理审批手续，并缴纳城市绿化补偿费。</w:t>
      </w:r>
      <w:r>
        <w:rPr>
          <w:rFonts w:hint="eastAsia" w:ascii="仿宋_GB2312" w:hAnsi="仿宋_GB2312" w:eastAsia="仿宋_GB2312" w:cs="仿宋_GB2312"/>
          <w:strike w:val="0"/>
          <w:dstrike w:val="0"/>
          <w:color w:val="auto"/>
          <w:sz w:val="32"/>
          <w:szCs w:val="32"/>
          <w:lang w:val="en-US" w:eastAsia="zh-CN"/>
        </w:rPr>
        <w:t>对已批准的城市绿地破挖工程，城市绿化养护主管部门应及时通知养护单位</w:t>
      </w:r>
      <w:r>
        <w:rPr>
          <w:rFonts w:hint="eastAsia" w:ascii="黑体" w:hAnsi="黑体" w:eastAsia="黑体" w:cs="黑体"/>
          <w:strike w:val="0"/>
          <w:dstrike w:val="0"/>
          <w:color w:val="auto"/>
          <w:sz w:val="32"/>
          <w:szCs w:val="32"/>
          <w:lang w:val="en-US" w:eastAsia="zh-CN"/>
        </w:rPr>
        <w:t>，</w:t>
      </w:r>
      <w:r>
        <w:rPr>
          <w:rFonts w:hint="eastAsia" w:ascii="仿宋_GB2312" w:hAnsi="仿宋_GB2312" w:eastAsia="仿宋_GB2312" w:cs="仿宋_GB2312"/>
          <w:strike w:val="0"/>
          <w:dstrike w:val="0"/>
          <w:color w:val="auto"/>
          <w:sz w:val="32"/>
          <w:szCs w:val="32"/>
          <w:lang w:val="en-US" w:eastAsia="zh-CN"/>
        </w:rPr>
        <w:t>由养护单位督导其做好相关修复工作，保障城市绿化景观效果。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第十六条</w:t>
      </w:r>
      <w:r>
        <w:rPr>
          <w:rFonts w:hint="eastAsia" w:ascii="仿宋_GB2312" w:hAnsi="仿宋_GB2312" w:eastAsia="仿宋_GB2312" w:cs="仿宋_GB2312"/>
          <w:color w:val="auto"/>
          <w:sz w:val="32"/>
          <w:szCs w:val="32"/>
          <w:lang w:val="en-US" w:eastAsia="zh-CN"/>
        </w:rPr>
        <w:t>  城市绿化养护经费按市政府划定的管理范围，由市和各区财政分别承担。城市绿化养护主管部门应会同同级财政部门按照城市绿化养护等级及相关定额标准，核定城市绿化养护经费。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strike w:val="0"/>
          <w:dstrike w:val="0"/>
          <w:color w:val="auto"/>
          <w:sz w:val="32"/>
          <w:szCs w:val="32"/>
          <w:lang w:val="en-US" w:eastAsia="zh-CN"/>
        </w:rPr>
        <w:t>第十七条</w:t>
      </w:r>
      <w:r>
        <w:rPr>
          <w:rFonts w:hint="eastAsia" w:ascii="仿宋_GB2312" w:hAnsi="仿宋_GB2312" w:eastAsia="仿宋_GB2312" w:cs="仿宋_GB2312"/>
          <w:color w:val="auto"/>
          <w:sz w:val="32"/>
          <w:szCs w:val="32"/>
          <w:lang w:val="en-US" w:eastAsia="zh-CN"/>
        </w:rPr>
        <w:t>  市和各区绿化养护主管部门以及养护责任单位按照属地管理，做好辖区城市绿化养护考核工作。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第十八条</w:t>
      </w:r>
      <w:r>
        <w:rPr>
          <w:rFonts w:hint="eastAsia" w:ascii="仿宋_GB2312" w:hAnsi="仿宋_GB2312" w:eastAsia="仿宋_GB2312" w:cs="仿宋_GB2312"/>
          <w:color w:val="auto"/>
          <w:sz w:val="32"/>
          <w:szCs w:val="32"/>
          <w:lang w:val="en-US" w:eastAsia="zh-CN"/>
        </w:rPr>
        <w:t xml:space="preserve">  严禁擅自砍伐和迁移城市树木，确需砍伐或移植的，必须按照下列规定审批：</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一处一次砍伐或移植树木10棵以下的，由各区绿化主管部门审批；</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一处一次砍伐或移植树木10棵以上的，由市级绿化主管部门审批。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第十九条</w:t>
      </w:r>
      <w:r>
        <w:rPr>
          <w:rFonts w:hint="eastAsia" w:ascii="仿宋_GB2312" w:hAnsi="仿宋_GB2312" w:eastAsia="仿宋_GB2312" w:cs="仿宋_GB2312"/>
          <w:color w:val="auto"/>
          <w:sz w:val="32"/>
          <w:szCs w:val="32"/>
          <w:lang w:val="en-US" w:eastAsia="zh-CN"/>
        </w:rPr>
        <w:t xml:space="preserve">  禁止在城市公园绿地、广场等公共场所随意摆摊设点违规经营；经批准同意，在城市公共绿地内开设商业、服务摊点的，经营者须在公共绿地管理单位指定的地点从事经营活动，并严格遵守公园管理有关规定。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第二十条</w:t>
      </w:r>
      <w:r>
        <w:rPr>
          <w:rFonts w:hint="eastAsia" w:ascii="仿宋_GB2312" w:hAnsi="仿宋_GB2312" w:eastAsia="仿宋_GB2312" w:cs="仿宋_GB2312"/>
          <w:color w:val="auto"/>
          <w:sz w:val="32"/>
          <w:szCs w:val="32"/>
          <w:lang w:val="en-US" w:eastAsia="zh-CN"/>
        </w:rPr>
        <w:t xml:space="preserve">  鼓励城市公共绿地开放共享。使用共享绿地要遵守共享绿地管理规定，禁止在规定时间和规定区域外搭建帐篷；共享</w:t>
      </w:r>
      <w:r>
        <w:rPr>
          <w:rFonts w:hint="eastAsia" w:ascii="Times New Roman" w:hAnsi="Times New Roman" w:eastAsia="仿宋_GB2312" w:cs="Times New Roman"/>
          <w:color w:val="auto"/>
          <w:sz w:val="32"/>
          <w:szCs w:val="32"/>
          <w:lang w:val="en-US" w:eastAsia="zh-CN"/>
        </w:rPr>
        <w:t>绿地内</w:t>
      </w:r>
      <w:r>
        <w:rPr>
          <w:rFonts w:hint="eastAsia" w:ascii="Times New Roman" w:hAnsi="Times New Roman" w:eastAsia="仿宋_GB2312" w:cs="Times New Roman"/>
          <w:color w:val="auto"/>
          <w:sz w:val="32"/>
          <w:szCs w:val="32"/>
          <w:lang w:eastAsia="zh-CN"/>
        </w:rPr>
        <w:t>禁止</w:t>
      </w:r>
      <w:r>
        <w:rPr>
          <w:rFonts w:hint="eastAsia" w:ascii="Times New Roman" w:hAnsi="Times New Roman" w:eastAsia="仿宋_GB2312" w:cs="Times New Roman"/>
          <w:color w:val="auto"/>
          <w:sz w:val="32"/>
          <w:szCs w:val="32"/>
        </w:rPr>
        <w:t>携带易燃易爆物品及</w:t>
      </w:r>
      <w:r>
        <w:rPr>
          <w:rFonts w:hint="eastAsia" w:ascii="仿宋_GB2312" w:hAnsi="仿宋_GB2312" w:eastAsia="仿宋_GB2312" w:cs="仿宋_GB2312"/>
          <w:color w:val="auto"/>
          <w:sz w:val="32"/>
          <w:szCs w:val="32"/>
          <w:lang w:val="en-US" w:eastAsia="zh-CN"/>
        </w:rPr>
        <w:t>烧烤、烹饪、焚烧等</w:t>
      </w:r>
      <w:r>
        <w:rPr>
          <w:rFonts w:hint="eastAsia" w:ascii="Times New Roman" w:hAnsi="Times New Roman" w:eastAsia="仿宋_GB2312" w:cs="Times New Roman"/>
          <w:color w:val="auto"/>
          <w:sz w:val="32"/>
          <w:szCs w:val="32"/>
        </w:rPr>
        <w:t>使用明火</w:t>
      </w:r>
      <w:r>
        <w:rPr>
          <w:rFonts w:hint="eastAsia" w:ascii="Times New Roman" w:hAnsi="Times New Roman" w:eastAsia="仿宋_GB2312" w:cs="Times New Roman"/>
          <w:color w:val="auto"/>
          <w:sz w:val="32"/>
          <w:szCs w:val="32"/>
          <w:lang w:eastAsia="zh-CN"/>
        </w:rPr>
        <w:t>行为；</w:t>
      </w:r>
      <w:r>
        <w:rPr>
          <w:rFonts w:hint="eastAsia" w:ascii="仿宋_GB2312" w:hAnsi="仿宋_GB2312" w:eastAsia="仿宋_GB2312" w:cs="仿宋_GB2312"/>
          <w:color w:val="auto"/>
          <w:sz w:val="32"/>
          <w:szCs w:val="32"/>
          <w:lang w:val="en-US" w:eastAsia="zh-CN"/>
        </w:rPr>
        <w:t>禁止在共享绿地内从事租赁兜售等经营活动。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第二十一条</w:t>
      </w:r>
      <w:r>
        <w:rPr>
          <w:rFonts w:hint="eastAsia" w:ascii="仿宋_GB2312" w:hAnsi="仿宋_GB2312" w:eastAsia="仿宋_GB2312" w:cs="仿宋_GB2312"/>
          <w:color w:val="auto"/>
          <w:sz w:val="32"/>
          <w:szCs w:val="32"/>
          <w:lang w:val="en-US" w:eastAsia="zh-CN"/>
        </w:rPr>
        <w:t>  公民、法人或其他组织有损坏城市绿化和绿化设施行为的，依据《威海市区城市绿化办法》的有关规定予以处罚。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第二十二条</w:t>
      </w:r>
      <w:r>
        <w:rPr>
          <w:rFonts w:hint="eastAsia" w:ascii="仿宋_GB2312" w:hAnsi="仿宋_GB2312" w:eastAsia="仿宋_GB2312" w:cs="仿宋_GB2312"/>
          <w:color w:val="auto"/>
          <w:sz w:val="32"/>
          <w:szCs w:val="32"/>
          <w:lang w:val="en-US" w:eastAsia="zh-CN"/>
        </w:rPr>
        <w:t>  本办法由</w:t>
      </w:r>
      <w:r>
        <w:rPr>
          <w:rFonts w:hint="eastAsia" w:ascii="仿宋_GB2312" w:hAnsi="仿宋_GB2312" w:eastAsia="仿宋_GB2312" w:cs="仿宋_GB2312"/>
          <w:strike w:val="0"/>
          <w:dstrike w:val="0"/>
          <w:color w:val="auto"/>
          <w:sz w:val="32"/>
          <w:szCs w:val="32"/>
          <w:lang w:val="en-US" w:eastAsia="zh-CN"/>
        </w:rPr>
        <w:t>威海市住房和城乡建设局</w:t>
      </w:r>
      <w:r>
        <w:rPr>
          <w:rFonts w:hint="eastAsia" w:ascii="仿宋_GB2312" w:hAnsi="仿宋_GB2312" w:eastAsia="仿宋_GB2312" w:cs="仿宋_GB2312"/>
          <w:color w:val="auto"/>
          <w:sz w:val="32"/>
          <w:szCs w:val="32"/>
          <w:lang w:val="en-US" w:eastAsia="zh-CN"/>
        </w:rPr>
        <w:t>负责组织实施。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val="en-US" w:eastAsia="zh-CN"/>
        </w:rPr>
        <w:t>第二十三条</w:t>
      </w:r>
      <w:r>
        <w:rPr>
          <w:rFonts w:hint="eastAsia" w:ascii="仿宋_GB2312" w:hAnsi="仿宋_GB2312" w:eastAsia="仿宋_GB2312" w:cs="仿宋_GB2312"/>
          <w:color w:val="auto"/>
          <w:sz w:val="32"/>
          <w:szCs w:val="32"/>
          <w:lang w:val="en-US" w:eastAsia="zh-CN"/>
        </w:rPr>
        <w:t>  本办法自发布之日起施行。</w:t>
      </w:r>
    </w:p>
    <w:sectPr>
      <w:footerReference r:id="rId3" w:type="default"/>
      <w:pgSz w:w="11906" w:h="16838"/>
      <w:pgMar w:top="1928" w:right="1474" w:bottom="192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文星简小标宋">
    <w:altName w:val="方正小标宋简体"/>
    <w:panose1 w:val="02010609000101010101"/>
    <w:charset w:val="00"/>
    <w:family w:val="auto"/>
    <w:pitch w:val="default"/>
    <w:sig w:usb0="00000000" w:usb1="00000000" w:usb2="00000000" w:usb3="00000000" w:csb0="00000000" w:csb1="00000000"/>
  </w:font>
  <w:font w:name="方正书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华文宋体">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7FC001"/>
    <w:multiLevelType w:val="singleLevel"/>
    <w:tmpl w:val="E47FC00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C2204F"/>
    <w:rsid w:val="04D044ED"/>
    <w:rsid w:val="06B20323"/>
    <w:rsid w:val="0C697DD2"/>
    <w:rsid w:val="142C714B"/>
    <w:rsid w:val="15581DCE"/>
    <w:rsid w:val="15655003"/>
    <w:rsid w:val="16D36105"/>
    <w:rsid w:val="17C63156"/>
    <w:rsid w:val="1AE939E1"/>
    <w:rsid w:val="1D140B16"/>
    <w:rsid w:val="20451DBC"/>
    <w:rsid w:val="20C7554D"/>
    <w:rsid w:val="225114EA"/>
    <w:rsid w:val="25094437"/>
    <w:rsid w:val="26335878"/>
    <w:rsid w:val="2A44419E"/>
    <w:rsid w:val="2F8A0532"/>
    <w:rsid w:val="310409EB"/>
    <w:rsid w:val="31E569CB"/>
    <w:rsid w:val="3303345C"/>
    <w:rsid w:val="35272D8F"/>
    <w:rsid w:val="37223A39"/>
    <w:rsid w:val="3BAD525E"/>
    <w:rsid w:val="406D4E17"/>
    <w:rsid w:val="46C2204F"/>
    <w:rsid w:val="46C41418"/>
    <w:rsid w:val="4B8317E7"/>
    <w:rsid w:val="4CE7502F"/>
    <w:rsid w:val="4F185A6C"/>
    <w:rsid w:val="50950E56"/>
    <w:rsid w:val="5B2C3099"/>
    <w:rsid w:val="5B472A29"/>
    <w:rsid w:val="5CA60CFA"/>
    <w:rsid w:val="5FA61A0C"/>
    <w:rsid w:val="60BC18A9"/>
    <w:rsid w:val="65EB5EDC"/>
    <w:rsid w:val="6A7B5616"/>
    <w:rsid w:val="6CBC236A"/>
    <w:rsid w:val="6F4C3547"/>
    <w:rsid w:val="702C4D6B"/>
    <w:rsid w:val="7D1C6BDB"/>
    <w:rsid w:val="7D2664D1"/>
    <w:rsid w:val="7DA16506"/>
    <w:rsid w:val="DFA7EB2C"/>
    <w:rsid w:val="EF3F19B6"/>
    <w:rsid w:val="F5EA1300"/>
    <w:rsid w:val="FEBB073D"/>
    <w:rsid w:val="FF5F4339"/>
    <w:rsid w:val="FFFFC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snapToGrid w:val="0"/>
      <w:spacing w:line="640" w:lineRule="exact"/>
      <w:ind w:firstLine="705"/>
    </w:pPr>
    <w:rPr>
      <w:rFonts w:ascii="仿宋_GB2312" w:hAnsi="Times New Roman" w:eastAsia="仿宋_GB2312" w:cs="Times New Roman"/>
      <w:color w:val="000000"/>
      <w:sz w:val="36"/>
      <w:szCs w:val="36"/>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2024-03-20T17:53:00Z</dcterms:created>
  <dc:creator>Administrator</dc:creator>
  <cp:lastModifiedBy>user</cp:lastModifiedBy>
  <cp:lastPrinted>2024-10-10T18:17:00Z</cp:lastPrinted>
  <dcterms:modified xsi:type="dcterms:W3CDTF">2024-10-11T13:57:34Z</dcterms:modified>
  <dc:title>关于对《威海市区城市绿化养护管理办法》的后评估报告</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631020D5F4D510C1AA8D0867171DE5D9</vt:lpwstr>
  </property>
</Properties>
</file>