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威海市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规范海景房开发和销售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指导意见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为规范和加强我市海景房开发和销售管理，维护消费者合法权益，依据省住建厅《关于进一步规范和加强外销型海景房开发与销售管理的指导意见》（鲁建房字〔2021〕2号），结合我市实际，特制定本指导意见。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>指导思想。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新时代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中国特色社会主义思想为指导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坚持以人民为中心的发展思想，坚持“房住不炒”定位，规范和加强海景房开发、销售管理, 切实维护群众合法权益，促进我市房地产市场平稳健康发展。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（二）基本原则。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问题导向，推动海景房产业转型发展；加强制度建设，规范海景房销售行为；创新工作思路，妥善解决历史遗留问题；坚持以人民为中心，全面提升物业服务水平；加强宣传引导，妥善化解矛盾纠纷问题；健全舆情处置机制，及时回应社会关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>范围界定。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本意见适用于荣成市、乳山市、南海新区等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以购房团销售模式为主的</w:t>
      </w:r>
      <w:r>
        <w:rPr>
          <w:rFonts w:hint="eastAsia" w:ascii="仿宋_GB2312" w:hAnsi="仿宋_GB2312" w:eastAsia="仿宋_GB2312" w:cs="仿宋_GB2312"/>
          <w:sz w:val="32"/>
          <w:szCs w:val="32"/>
        </w:rPr>
        <w:t>海景房区域，各区市可结合本区域实际情况制定相应的细则并组织实施。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（一）严控开发增量</w:t>
      </w:r>
      <w:r>
        <w:rPr>
          <w:rFonts w:hint="eastAsia" w:ascii="仿宋_GB2312" w:hAnsi="仿宋_GB2312" w:eastAsia="仿宋_GB2312" w:cs="仿宋_GB2312"/>
          <w:sz w:val="32"/>
          <w:szCs w:val="32"/>
        </w:rPr>
        <w:t>。要综合考虑区域人口结构、经济布局、发展潜力等因素，严格控制海景房新建项目审查审批，尤其是纯住宅开发项目。新建项目要与产业发展或文旅项目相结合，坚决摒弃无序开发，坚决防止过度开发。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（二）探索转型发展。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坚持问题导向，从全局出发，对海景房区域深入研究、精准定位、整合资源，积极引入养老、医疗、教育、科研等产业，拓展产业链条，促进功能融合，实现协调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展。强化海景房区域与主城区的交通便利化、产业协同化，加快推进城市主城区与海景房片区融合、一体化进程，实现区域统筹发展、高质量发展。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（三）加快解决历史遗留问题。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排查梳理海景房区域的房地产历史遗留问题，厘清事实，甄别责任，依托市和区市两级解决城市建设领域矛盾纠纷问题领导小组，集中力量加快解决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符合续建复建要求的项目，依法依规补齐相关手续，促进项目尽快开工复建和验收；对符合要求但确实无力续建的项目，积极引导开发企业和项目通过企业兼并、债务重组、破产清算等方式，盘活重整，促进问题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（四）补齐设施短板。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加快配套设施完善提升，对群众反映强烈的供电供暖、污水处理、交通出行等配套基础设施 及餐饮、商场、娱乐等服务设施方面存在的问题要加快解决，有序配套补齐海景房区域的设施短板，提高区域承载能力，提升和改善海景房片区居民生活品质，促进房产保值增值。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（五）实行“看房团”备案制度。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以“看房团”为主要销售模式的区域，要加强对“看房团”管理，进行事前备案，全面掌握“看房团”的规模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构成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意向等信息，实现“看房团”规范化管理。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（六）主动公开项目信息。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采取“线上+线下”信息公开模式，线上通过政府门户网站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APP等平台，及时公开房地产市场交易信息，方便购房群众随时随地查阅。线下通过设立区域房地产销售有形市场或城市会客厅，建立房地产开发销售信息的公开发布机制和信息化监管平台，提供涉及房屋销售的相关服务，加强集中统一展示、推介、交易和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（七）严格落实销售现场信息公示制度。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严格按照《关于进一步规范商品房销售现场信息公示管理的通知》（威住建通字〔2021〕48）的要求，规范销售现场信息公示管理，提高商品房销售相关信息的透明度，必要时可向购房人主动讲解相关公示信息。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（八）实行购房事项书面告知制度。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发企业在售房时，须主动向购房人提供《购买新建商品房须知》，并主动解释相关内容，让购房人在充分了解自己的权利和义务后，在《购买新建商品房须知》上签字确认。中介机构在提供经纪服务时，须主动向购房人提供《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房地产经纪服务须知》，并主动解释相关内容，让购房人在充分了解自己的权利和义务后，在《接受房地产经纪服务须知》上签字确认。买卖合同网签备案时，上述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须知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须同时提供。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（九）建立“签约室”签约制度。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各在售项目要建设统一标准的“签约室”，购房人确定购房意向后，在“签约室”进行签约，通过录音、录像等方式记录签约的全过程，规范购房签约的最关键环节。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（十）实行“5天购房冷静期”制度。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发公司在与中介机构签订的委托销售合同、与购房人签订的认购协议中，须列明购房5天冷静期退房的条款，明确退房退款的相关事项。购房人可在签订认购协议后5个自然日内书面向开发公司提出退房退款申请。开发公司经与购房人协商一致、扣除购房人在购房过程中产生的合理费用后，在15个自然日内给予办理退房退款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（十一）强化二手房市场监管。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“三码公示”和“五真房源”制度。在营中介机构必须主动公示“中介机构二维码、从业人员二维码、房源二维码”，对外发布房源必须严格落实“真实委托、真实图片、真实产权、真实存在、真实价格”。严格落实房地产中介机构备案制度，加强对海景房区域内从事二手房业务的房地产中介机构的监管；联合市场监管部门建立日常巡查制度，严肃查处炒买炒卖、强买强卖、虚假宣传、欺诈欺骗等违法违规行为，坚决取缔无实体门店、无照经营、沿街售房的“黑中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（十二）盘活利用闲置房产。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鼓励将闲置房产与养老、家政、教育、旅游等业态相结合，利用大数据和智慧物业管理等服务平台，匹配出租承租需求，通过开展托管租赁与业主定制服务等方式，积极盘活闲置房产资源。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（十三）提升物业服务水平。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推行“红色物业”，建立健全物业主管部门、镇街、社区居委会、小区业委会、物业企业、业主等多方共同参与、共商事务、共治共管的工作机制。对信用不良企业，给予约谈负责人、实施重点监管、限制承接新项目直至清出物业市场等惩戒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（十四）积极化解矛盾纠纷。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发企业、中介机构对化解购房矛盾纠纷负首要责任，要建立早发现、早预防、早介入、早处置的工作机制，将问题消化在萌芽状态。各区市主管部门要进一步细化信访处置流程，提升信访投诉处置规范化水平。对信访积案进行深入细致的摸底排查，找准症结和难点，统筹研究，顶层推动，有的放矢, 逐一解决。通过调解无法解决的，积极引导当事人通过司法途径解决争议。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（十五）健全舆情处置机制。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区市住建部门应要密切关注各类舆情动态，建立健全海景房销售舆情应急处置工作机制，对重大舆情迅速做出反应，第一时间启动应急预案。通过新闻媒体和网站等多种途径，宣传行业和市场相关信息、动态、政策，公开公示有关事项，分析解读市场形势和政策，解答群众关心的有关问题，依法、高效、稳妥地做好相关舆情处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（十六）加大宣传引导力度。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正确的舆论导向，发布有利于稳定市场预期的权威信息，引导群众理性购房消费，理性解决纠纷。要通过官网、公众号、广播电视等渠道主动发声，宣传有关政策及工作成效，掌握舆论引领主动权，营造良好社会舆论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三、组织落实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各区市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建设主管部门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充分认识规范和加强海景房开发建设与销售管理的重要意义，进一步加强组织领导，完善工作机制，压实工作责任，密切协作配合，坚持问题导向，不断完善配套设施，加快推进产业转型，持续优化营商环境，提升城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整体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形象，促进我市房地产市场健康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平稳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相关规定执行情况将与企业信用评价结合。对拒不执行相关规定的企业，应严肃查处，并列入失信企业名单，进行联合惩戒。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A0B32"/>
    <w:rsid w:val="1C6C4FF9"/>
    <w:rsid w:val="201C09D8"/>
    <w:rsid w:val="2C9F2608"/>
    <w:rsid w:val="332632D5"/>
    <w:rsid w:val="46DF2771"/>
    <w:rsid w:val="53E74D00"/>
    <w:rsid w:val="54AC435B"/>
    <w:rsid w:val="5F376DB5"/>
    <w:rsid w:val="7DCFFC0F"/>
    <w:rsid w:val="CF7C408B"/>
    <w:rsid w:val="F7E17BA6"/>
    <w:rsid w:val="FBDF5401"/>
    <w:rsid w:val="FBE7FC2D"/>
    <w:rsid w:val="FFF7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user</cp:lastModifiedBy>
  <dcterms:modified xsi:type="dcterms:W3CDTF">2021-11-11T15:13:27Z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