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jc w:val="center"/>
        <w:rPr>
          <w:rFonts w:ascii="宋体" w:hAnsi="宋体" w:cs="宋体"/>
          <w:b/>
          <w:color w:val="auto"/>
          <w:sz w:val="44"/>
          <w:szCs w:val="44"/>
        </w:rPr>
      </w:pPr>
      <w:r>
        <w:rPr>
          <w:rFonts w:hint="eastAsia" w:ascii="宋体" w:hAnsi="宋体" w:cs="宋体"/>
          <w:b/>
          <w:color w:val="auto"/>
          <w:sz w:val="44"/>
          <w:szCs w:val="44"/>
        </w:rPr>
        <w:t xml:space="preserve"> </w:t>
      </w:r>
    </w:p>
    <w:p>
      <w:pPr>
        <w:spacing w:beforeLines="50" w:afterLines="50" w:line="560" w:lineRule="exact"/>
        <w:jc w:val="center"/>
        <w:rPr>
          <w:rFonts w:ascii="宋体" w:hAnsi="宋体" w:cs="宋体"/>
          <w:b/>
          <w:color w:val="auto"/>
          <w:sz w:val="44"/>
          <w:szCs w:val="44"/>
        </w:rPr>
      </w:pPr>
      <w:r>
        <w:rPr>
          <w:rFonts w:hint="eastAsia" w:ascii="宋体" w:hAnsi="宋体" w:cs="宋体"/>
          <w:b/>
          <w:color w:val="auto"/>
          <w:sz w:val="44"/>
          <w:szCs w:val="44"/>
        </w:rPr>
        <w:t>威海市_______（物业管理区域）管理规约</w:t>
      </w:r>
    </w:p>
    <w:p>
      <w:pPr>
        <w:jc w:val="center"/>
        <w:rPr>
          <w:rFonts w:ascii="宋体" w:hAnsi="宋体" w:cs="宋体"/>
          <w:bCs/>
          <w:color w:val="auto"/>
          <w:sz w:val="10"/>
          <w:szCs w:val="10"/>
        </w:rPr>
      </w:pPr>
      <w:r>
        <w:rPr>
          <w:rFonts w:hint="eastAsia" w:ascii="宋体" w:hAnsi="宋体" w:cs="宋体"/>
          <w:bCs/>
          <w:color w:val="auto"/>
          <w:sz w:val="44"/>
          <w:szCs w:val="44"/>
        </w:rPr>
        <w:t>（示范文本）</w:t>
      </w:r>
    </w:p>
    <w:p>
      <w:pPr>
        <w:numPr>
          <w:ilvl w:val="0"/>
          <w:numId w:val="1"/>
        </w:numPr>
        <w:spacing w:beforeLines="50" w:afterLines="50" w:line="560" w:lineRule="exact"/>
        <w:jc w:val="center"/>
        <w:rPr>
          <w:rFonts w:ascii="黑体" w:hAnsi="黑体" w:eastAsia="黑体"/>
          <w:color w:val="auto"/>
          <w:sz w:val="32"/>
          <w:szCs w:val="32"/>
        </w:rPr>
      </w:pPr>
      <w:r>
        <w:rPr>
          <w:rFonts w:hint="eastAsia" w:ascii="黑体" w:hAnsi="黑体" w:eastAsia="黑体"/>
          <w:color w:val="auto"/>
          <w:sz w:val="32"/>
          <w:szCs w:val="32"/>
        </w:rPr>
        <w:t>总则</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第一条</w:t>
      </w:r>
      <w:r>
        <w:rPr>
          <w:rFonts w:hint="eastAsia" w:ascii="仿宋_GB2312" w:hAnsi="仿宋_GB2312" w:eastAsia="仿宋_GB2312" w:cs="仿宋_GB2312"/>
          <w:color w:val="auto"/>
          <w:sz w:val="32"/>
          <w:szCs w:val="32"/>
        </w:rPr>
        <w:t xml:space="preserve"> 为维护业主以及其他当事人的合法权益，根据有关法律、法规的规定，结合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物业管理区域（以下简称“本物业管理区域”）实际情况，制定本规约。</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第二条</w:t>
      </w:r>
      <w:r>
        <w:rPr>
          <w:rFonts w:hint="eastAsia" w:ascii="仿宋_GB2312" w:hAnsi="仿宋_GB2312" w:eastAsia="仿宋_GB2312" w:cs="仿宋_GB2312"/>
          <w:color w:val="auto"/>
          <w:sz w:val="32"/>
          <w:szCs w:val="32"/>
        </w:rPr>
        <w:t xml:space="preserve"> 本物业管理区域倡导绿色、智慧物业管理。鼓励采用新技术、新方法提高物业管理质量和服务水平，营造安全、舒适、文明、和谐、美好的工作和生活环境。</w:t>
      </w:r>
    </w:p>
    <w:p>
      <w:pPr>
        <w:spacing w:line="560" w:lineRule="exact"/>
        <w:ind w:firstLine="640" w:firstLineChars="200"/>
        <w:rPr>
          <w:rFonts w:ascii="仿宋_GB2312" w:hAnsi="仿宋_GB2312" w:eastAsia="仿宋_GB2312" w:cs="仿宋_GB2312"/>
          <w:snapToGrid w:val="0"/>
          <w:color w:val="auto"/>
          <w:sz w:val="32"/>
          <w:szCs w:val="32"/>
        </w:rPr>
      </w:pPr>
      <w:r>
        <w:rPr>
          <w:rFonts w:hint="eastAsia" w:ascii="黑体" w:hAnsi="黑体" w:eastAsia="黑体"/>
          <w:color w:val="auto"/>
          <w:sz w:val="32"/>
          <w:szCs w:val="32"/>
        </w:rPr>
        <w:t>第三条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snapToGrid w:val="0"/>
          <w:color w:val="auto"/>
          <w:sz w:val="32"/>
          <w:szCs w:val="32"/>
        </w:rPr>
        <w:t>本规约对本物业管理区域内全体业主、物业使用人均具有约束力。物业的所有权发生变更时，</w:t>
      </w:r>
      <w:bookmarkStart w:id="0" w:name="_Hlk23866467"/>
      <w:r>
        <w:rPr>
          <w:rFonts w:hint="eastAsia" w:ascii="仿宋_GB2312" w:hAnsi="仿宋_GB2312" w:eastAsia="仿宋_GB2312" w:cs="仿宋_GB2312"/>
          <w:snapToGrid w:val="0"/>
          <w:color w:val="auto"/>
          <w:sz w:val="32"/>
          <w:szCs w:val="32"/>
        </w:rPr>
        <w:t>本规约对原业主的效力及于新的物业继受人。</w:t>
      </w:r>
      <w:bookmarkEnd w:id="0"/>
    </w:p>
    <w:p>
      <w:pPr>
        <w:adjustRightInd w:val="0"/>
        <w:spacing w:line="560" w:lineRule="exact"/>
        <w:ind w:firstLine="640" w:firstLineChars="200"/>
        <w:rPr>
          <w:rFonts w:ascii="仿宋_GB2312" w:hAnsi="仿宋_GB2312" w:eastAsia="仿宋_GB2312" w:cs="仿宋_GB2312"/>
          <w:snapToGrid w:val="0"/>
          <w:color w:val="auto"/>
          <w:sz w:val="32"/>
          <w:szCs w:val="32"/>
        </w:rPr>
      </w:pPr>
      <w:r>
        <w:rPr>
          <w:rFonts w:hint="eastAsia" w:ascii="黑体" w:hAnsi="黑体" w:eastAsia="黑体"/>
          <w:snapToGrid w:val="0"/>
          <w:color w:val="auto"/>
          <w:sz w:val="32"/>
          <w:szCs w:val="32"/>
        </w:rPr>
        <w:t>第四条</w:t>
      </w:r>
      <w:r>
        <w:rPr>
          <w:rFonts w:hint="eastAsia" w:ascii="仿宋_GB2312" w:hAnsi="仿宋_GB2312" w:eastAsia="仿宋_GB2312" w:cs="仿宋_GB2312"/>
          <w:snapToGrid w:val="0"/>
          <w:color w:val="auto"/>
          <w:sz w:val="32"/>
          <w:szCs w:val="32"/>
        </w:rPr>
        <w:t xml:space="preserve"> </w:t>
      </w:r>
      <w:bookmarkStart w:id="1" w:name="_Hlk23866515"/>
      <w:r>
        <w:rPr>
          <w:rFonts w:hint="eastAsia" w:ascii="仿宋_GB2312" w:hAnsi="仿宋_GB2312" w:eastAsia="仿宋_GB2312" w:cs="仿宋_GB2312"/>
          <w:snapToGrid w:val="0"/>
          <w:color w:val="auto"/>
          <w:sz w:val="32"/>
          <w:szCs w:val="32"/>
        </w:rPr>
        <w:t>业主、物业使用人应当遵守相关政府部门的有关规定，遵守社会公德，不得危及物业的安全，不得损害其他业主、物业使用人的合法权益，</w:t>
      </w:r>
      <w:bookmarkEnd w:id="1"/>
      <w:r>
        <w:rPr>
          <w:rFonts w:hint="eastAsia" w:ascii="仿宋_GB2312" w:hAnsi="仿宋_GB2312" w:eastAsia="仿宋_GB2312" w:cs="仿宋_GB2312"/>
          <w:snapToGrid w:val="0"/>
          <w:color w:val="auto"/>
          <w:sz w:val="32"/>
          <w:szCs w:val="32"/>
        </w:rPr>
        <w:t>并有配合公共秩序维护、消防、卫生保洁等方面工作的义务。</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业主转让或者出租物业时，应将本规约作为物业转让合同或者租赁合同的附件，同时书面告知物业服务企业、业主委员会。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业主转让物业，应当结清物业服务费、住宅专项维修资金等费用。</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第五条</w:t>
      </w:r>
      <w:r>
        <w:rPr>
          <w:rFonts w:hint="eastAsia" w:ascii="仿宋_GB2312" w:hAnsi="仿宋_GB2312" w:eastAsia="仿宋_GB2312" w:cs="仿宋_GB2312"/>
          <w:color w:val="auto"/>
          <w:sz w:val="32"/>
          <w:szCs w:val="32"/>
        </w:rPr>
        <w:t xml:space="preserve"> </w:t>
      </w:r>
      <w:bookmarkStart w:id="2" w:name="_Hlk15554629"/>
      <w:r>
        <w:rPr>
          <w:rFonts w:hint="eastAsia" w:ascii="仿宋_GB2312" w:hAnsi="仿宋_GB2312" w:eastAsia="仿宋_GB2312" w:cs="仿宋_GB2312"/>
          <w:color w:val="auto"/>
          <w:sz w:val="32"/>
          <w:szCs w:val="32"/>
        </w:rPr>
        <w:t>业主依法享有下列权利：</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（一）参加业主大会会议，发表意见，行使投票权；</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（二）选举业主委员会并依法依规享有被选举权；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（三）监督业主委员会工作；</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（四）监督物业服务企业履行物业服务合同；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（五）对共有物业和业主共有资金使用管理的知情权和监督权；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（六）就制订或者修改本规约、业主大会议事规则、物业服务合同等物业管理事项提出意见和建议；</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bookmarkStart w:id="3" w:name="_Hlk23866689"/>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bookmarkEnd w:id="3"/>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（八）法律、法规规定的其他权利。</w:t>
      </w:r>
    </w:p>
    <w:p>
      <w:pPr>
        <w:pStyle w:val="8"/>
        <w:shd w:val="clear" w:color="auto" w:fill="FFFFFF"/>
        <w:spacing w:before="0" w:beforeAutospacing="0" w:after="0" w:afterAutospacing="0" w:line="360" w:lineRule="auto"/>
        <w:ind w:firstLine="640" w:firstLineChars="200"/>
        <w:rPr>
          <w:rFonts w:hint="default" w:eastAsia="仿宋_GB2312"/>
          <w:strike w:val="0"/>
          <w:dstrike w:val="0"/>
          <w:color w:val="auto"/>
          <w:highlight w:val="none"/>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微软雅黑" w:eastAsia="仿宋_GB2312"/>
          <w:strike w:val="0"/>
          <w:dstrike w:val="0"/>
          <w:color w:val="auto"/>
          <w:sz w:val="32"/>
          <w:szCs w:val="32"/>
          <w:highlight w:val="none"/>
          <w:lang w:eastAsia="zh-CN"/>
        </w:rPr>
        <w:t>业主表决方式可以采取常规表决，也可以采用异议表决。常规表决方式是指有利害关系的业主持同意意见的比例达到规定标准，视为表决通过。异议表决是指有利害关系的业主持反对意见的比例未超过规定标准，视为表决通过。</w:t>
      </w:r>
    </w:p>
    <w:p>
      <w:pPr>
        <w:pStyle w:val="8"/>
        <w:shd w:val="clear" w:color="auto" w:fill="FFFFFF"/>
        <w:spacing w:before="0" w:beforeAutospacing="0" w:after="0" w:afterAutospacing="0" w:line="360" w:lineRule="auto"/>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 xml:space="preserve">第六条 </w:t>
      </w:r>
      <w:r>
        <w:rPr>
          <w:rFonts w:hint="eastAsia" w:ascii="仿宋_GB2312" w:hAnsi="仿宋_GB2312" w:eastAsia="仿宋_GB2312" w:cs="仿宋_GB2312"/>
          <w:color w:val="auto"/>
          <w:sz w:val="32"/>
          <w:szCs w:val="32"/>
        </w:rPr>
        <w:t>业主应当依法履行下列义务：</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（一）遵守本规约以及物业使用、公共秩序和环境卫生等方面的规章制度；</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（二）执行业主大会、业主委员会依法作出的决定；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（三）按时缴纳物业服务费、专项维修资金；</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（四）配合物业服务企业或者其他管理人实施物业管理；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0" w:firstLineChars="200"/>
        <w:rPr>
          <w:rFonts w:hint="default" w:eastAsia="仿宋_GB2312"/>
          <w:color w:val="auto"/>
          <w:lang w:val="en-US" w:eastAsia="zh-CN"/>
        </w:rPr>
      </w:pPr>
      <w:r>
        <w:rPr>
          <w:rFonts w:hint="eastAsia" w:ascii="仿宋_GB2312" w:hAnsi="仿宋_GB2312" w:eastAsia="仿宋_GB2312" w:cs="仿宋_GB2312"/>
          <w:color w:val="auto"/>
          <w:sz w:val="32"/>
          <w:szCs w:val="32"/>
        </w:rPr>
        <w:t>（六）法律、法规规定和本规约约定的其他义务。</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w:t>
      </w:r>
      <w:bookmarkStart w:id="4" w:name="_Hlk23866739"/>
      <w:r>
        <w:rPr>
          <w:rFonts w:hint="eastAsia" w:ascii="仿宋_GB2312" w:hAnsi="仿宋_GB2312" w:eastAsia="仿宋_GB2312" w:cs="仿宋_GB2312"/>
          <w:color w:val="auto"/>
          <w:sz w:val="32"/>
          <w:szCs w:val="32"/>
        </w:rPr>
        <w:t>业主、物业使用人应遵守法律、法规的规定和本规约的约定，按照有利于物业使用、安全、整洁以及公平、合理、不损害公共利益和他人利益的原则，在供电、供水、供气、排水、通行、通风、采光、维修、装饰装修、环境卫生、环境保护、房屋外观等方面妥善处理与相邻业主的关系。</w:t>
      </w:r>
      <w:bookmarkEnd w:id="4"/>
    </w:p>
    <w:bookmarkEnd w:id="2"/>
    <w:p>
      <w:pPr>
        <w:numPr>
          <w:ilvl w:val="0"/>
          <w:numId w:val="1"/>
        </w:numPr>
        <w:spacing w:beforeLines="5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物业管理区域及设施</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本物业管理区域的基本情况</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（一）名称</w:t>
      </w:r>
      <w:bookmarkStart w:id="5" w:name="_Hlk15477388"/>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bookmarkEnd w:id="5"/>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（二）坐落位置：</w:t>
      </w:r>
      <w:bookmarkStart w:id="6" w:name="_Hlk15477411"/>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bookmarkEnd w:id="6"/>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（三）物业总建筑面积：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（四）物业类型：</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left="559" w:leftChars="26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（五）土地宗地号：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left="559" w:leftChars="26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（六）区域四至如下：</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东至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西至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numPr>
          <w:ilvl w:val="0"/>
          <w:numId w:val="2"/>
        </w:numPr>
        <w:spacing w:line="560" w:lineRule="exact"/>
        <w:ind w:firstLine="640" w:firstLineChars="200"/>
        <w:rPr>
          <w:rFonts w:ascii="仿宋_GB2312" w:hAnsi="仿宋_GB2312" w:eastAsia="仿宋_GB2312" w:cs="仿宋_GB2312"/>
          <w:color w:val="auto"/>
          <w:sz w:val="32"/>
          <w:szCs w:val="32"/>
        </w:rPr>
      </w:pPr>
      <w:bookmarkStart w:id="7" w:name="_Hlk23866898"/>
      <w:r>
        <w:rPr>
          <w:rFonts w:hint="eastAsia" w:ascii="仿宋_GB2312" w:hAnsi="仿宋_GB2312" w:eastAsia="仿宋_GB2312" w:cs="仿宋_GB2312"/>
          <w:color w:val="auto"/>
          <w:sz w:val="32"/>
          <w:szCs w:val="32"/>
        </w:rPr>
        <w:t>物业服务办公用房建筑面积为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平方米，位于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 </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业主委员会办公用房建筑面积为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平方米，位于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物业管理设施设备用房</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处，分别位于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numPr>
          <w:ilvl w:val="0"/>
          <w:numId w:val="2"/>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规划用于停放车辆的地上车位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个、地下停车位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个，可做车位使用的人防设施面积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平方米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车位————</w:t>
      </w:r>
      <w:r>
        <w:rPr>
          <w:rFonts w:hint="eastAsia" w:ascii="仿宋_GB2312" w:hAnsi="仿宋_GB2312" w:eastAsia="仿宋_GB2312" w:cs="仿宋_GB2312"/>
          <w:color w:val="auto"/>
          <w:sz w:val="32"/>
          <w:szCs w:val="32"/>
          <w:lang w:val="en-US" w:eastAsia="zh-CN"/>
        </w:rPr>
        <w:t>个</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本物业管理区域的基本情况详见附件1、附件2和附件3</w:t>
      </w:r>
      <w:bookmarkEnd w:id="7"/>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highlight w:val="none"/>
          <w:lang w:eastAsia="zh-CN"/>
        </w:rPr>
        <w:t>第九条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rPr>
        <w:t>建筑物外围公共绿地未经规划审批的，不得按照小院处置和占用。</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十</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在物业服务合同中</w:t>
      </w:r>
      <w:r>
        <w:rPr>
          <w:rFonts w:hint="eastAsia" w:ascii="仿宋_GB2312" w:hAnsi="仿宋_GB2312" w:eastAsia="仿宋_GB2312" w:cs="仿宋_GB2312"/>
          <w:color w:val="auto"/>
          <w:sz w:val="32"/>
          <w:szCs w:val="32"/>
          <w:u w:val="none"/>
          <w:lang w:eastAsia="zh-CN"/>
        </w:rPr>
        <w:t>应当</w:t>
      </w:r>
      <w:r>
        <w:rPr>
          <w:rFonts w:hint="eastAsia" w:ascii="仿宋_GB2312" w:hAnsi="仿宋_GB2312" w:eastAsia="仿宋_GB2312" w:cs="仿宋_GB2312"/>
          <w:color w:val="auto"/>
          <w:sz w:val="32"/>
          <w:szCs w:val="32"/>
          <w:lang w:eastAsia="zh-CN"/>
        </w:rPr>
        <w:t>明确，</w:t>
      </w:r>
      <w:r>
        <w:rPr>
          <w:rFonts w:hint="eastAsia" w:ascii="仿宋_GB2312" w:hAnsi="仿宋_GB2312" w:eastAsia="仿宋_GB2312" w:cs="仿宋_GB2312"/>
          <w:color w:val="auto"/>
          <w:sz w:val="32"/>
          <w:szCs w:val="32"/>
        </w:rPr>
        <w:t>本物业管理区域的车位、车库使用情况由物业服务企业每年予以公示。公示的内容包括可使用车位、车库的总数，车位、车库使用信息等。</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利用本</w:t>
      </w:r>
      <w:r>
        <w:rPr>
          <w:rFonts w:hint="eastAsia" w:ascii="仿宋_GB2312" w:hAnsi="仿宋" w:eastAsia="仿宋_GB2312" w:cs="仿宋_GB2312"/>
          <w:color w:val="auto"/>
          <w:sz w:val="32"/>
          <w:szCs w:val="32"/>
        </w:rPr>
        <w:t>物业管理区域</w:t>
      </w:r>
      <w:r>
        <w:rPr>
          <w:rFonts w:hint="eastAsia" w:ascii="仿宋_GB2312" w:hAnsi="仿宋_GB2312" w:eastAsia="仿宋_GB2312" w:cs="仿宋_GB2312"/>
          <w:color w:val="auto"/>
          <w:sz w:val="32"/>
          <w:szCs w:val="32"/>
        </w:rPr>
        <w:t>共有物业进行经营活动的，应当由全体业主共同决定</w:t>
      </w:r>
      <w:bookmarkStart w:id="8" w:name="_Hlk23868165"/>
      <w:r>
        <w:rPr>
          <w:rFonts w:hint="eastAsia" w:ascii="仿宋_GB2312" w:hAnsi="仿宋_GB2312" w:eastAsia="仿宋_GB2312" w:cs="仿宋_GB2312"/>
          <w:color w:val="auto"/>
          <w:sz w:val="32"/>
          <w:szCs w:val="32"/>
        </w:rPr>
        <w:t>，</w:t>
      </w:r>
      <w:bookmarkStart w:id="9" w:name="_Hlk15555036"/>
      <w:r>
        <w:rPr>
          <w:rFonts w:hint="eastAsia" w:ascii="仿宋_GB2312" w:hAnsi="仿宋_GB2312" w:eastAsia="仿宋_GB2312" w:cs="仿宋_GB2312"/>
          <w:color w:val="auto"/>
          <w:sz w:val="32"/>
          <w:szCs w:val="32"/>
        </w:rPr>
        <w:t>其收益属于全体业主共有。</w:t>
      </w:r>
      <w:bookmarkEnd w:id="8"/>
      <w:r>
        <w:rPr>
          <w:rFonts w:hint="eastAsia" w:ascii="仿宋_GB2312" w:hAnsi="仿宋_GB2312" w:eastAsia="仿宋_GB2312" w:cs="仿宋_GB2312"/>
          <w:color w:val="auto"/>
          <w:sz w:val="32"/>
          <w:szCs w:val="32"/>
        </w:rPr>
        <w:t>可能损害特定业主就其专有部分享有的合法权益的，</w:t>
      </w:r>
      <w:bookmarkEnd w:id="9"/>
      <w:r>
        <w:rPr>
          <w:rFonts w:hint="eastAsia" w:ascii="仿宋_GB2312" w:hAnsi="仿宋_GB2312" w:eastAsia="仿宋_GB2312" w:cs="仿宋_GB2312"/>
          <w:color w:val="auto"/>
          <w:sz w:val="32"/>
          <w:szCs w:val="32"/>
        </w:rPr>
        <w:t>还应当经有利害关系的业主同意。</w:t>
      </w:r>
    </w:p>
    <w:p>
      <w:pPr>
        <w:spacing w:line="560" w:lineRule="exact"/>
        <w:ind w:firstLine="640" w:firstLineChars="200"/>
        <w:rPr>
          <w:rFonts w:ascii="仿宋_GB2312" w:hAnsi="仿宋_GB2312" w:eastAsia="仿宋_GB2312" w:cs="仿宋_GB2312"/>
          <w:color w:val="auto"/>
          <w:sz w:val="32"/>
          <w:szCs w:val="32"/>
        </w:rPr>
      </w:pPr>
      <w:bookmarkStart w:id="10" w:name="_Hlk15555049"/>
      <w:r>
        <w:rPr>
          <w:rFonts w:hint="eastAsia" w:ascii="仿宋_GB2312" w:hAnsi="仿宋_GB2312" w:eastAsia="仿宋_GB2312" w:cs="仿宋_GB2312"/>
          <w:color w:val="auto"/>
          <w:sz w:val="32"/>
          <w:szCs w:val="32"/>
        </w:rPr>
        <w:t>任何单位和个人</w:t>
      </w:r>
      <w:bookmarkEnd w:id="10"/>
      <w:r>
        <w:rPr>
          <w:rFonts w:hint="eastAsia" w:ascii="仿宋_GB2312" w:hAnsi="仿宋_GB2312" w:eastAsia="仿宋_GB2312" w:cs="仿宋_GB2312"/>
          <w:color w:val="auto"/>
          <w:sz w:val="32"/>
          <w:szCs w:val="32"/>
        </w:rPr>
        <w:t>不得擅自处分属于全体业主的共有物业。</w:t>
      </w:r>
    </w:p>
    <w:p>
      <w:pPr>
        <w:numPr>
          <w:ilvl w:val="0"/>
          <w:numId w:val="1"/>
        </w:numPr>
        <w:spacing w:beforeLines="50" w:afterLines="50" w:line="560" w:lineRule="exact"/>
        <w:jc w:val="center"/>
        <w:rPr>
          <w:rFonts w:ascii="黑体" w:hAnsi="黑体" w:eastAsia="黑体"/>
          <w:color w:val="auto"/>
          <w:sz w:val="32"/>
          <w:szCs w:val="32"/>
        </w:rPr>
      </w:pPr>
      <w:bookmarkStart w:id="11" w:name="_Hlk15555068"/>
      <w:r>
        <w:rPr>
          <w:rFonts w:hint="eastAsia" w:ascii="黑体" w:hAnsi="黑体" w:eastAsia="黑体"/>
          <w:color w:val="auto"/>
          <w:sz w:val="32"/>
          <w:szCs w:val="32"/>
        </w:rPr>
        <w:t>物业安全管理与使用</w:t>
      </w:r>
      <w:bookmarkEnd w:id="11"/>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eastAsia="zh-CN"/>
        </w:rPr>
        <w:t>二</w:t>
      </w:r>
      <w:r>
        <w:rPr>
          <w:rFonts w:hint="eastAsia" w:ascii="黑体" w:hAnsi="黑体" w:eastAsia="黑体"/>
          <w:color w:val="auto"/>
          <w:sz w:val="32"/>
          <w:szCs w:val="32"/>
        </w:rPr>
        <w:t xml:space="preserve">条 </w:t>
      </w:r>
      <w:r>
        <w:rPr>
          <w:rFonts w:hint="eastAsia" w:ascii="仿宋_GB2312" w:hAnsi="仿宋_GB2312" w:eastAsia="仿宋_GB2312" w:cs="仿宋_GB2312"/>
          <w:color w:val="auto"/>
          <w:sz w:val="32"/>
          <w:szCs w:val="32"/>
        </w:rPr>
        <w:t>业主、物业使用人应按照有关政府部门批准或者不动产登记簿载明的用途使用物业专有部分，不得擅自改变物业专有部分的使用性质。因特殊情况需要改变物业用途的，除遵守法律、法规以及本规约外，应当征得有利害关系的业主同意，并报相关政府部门批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本物业管理区域内严禁将住宅改变为□餐饮□娱乐□宾馆</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等经营场所，严禁将商铺（含临街）用于□宠物医院□机动车养护维修□餐饮□酒吧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等经营场所。</w:t>
      </w:r>
    </w:p>
    <w:p>
      <w:pPr>
        <w:spacing w:line="560" w:lineRule="exact"/>
        <w:ind w:firstLine="640" w:firstLineChars="200"/>
        <w:rPr>
          <w:rFonts w:ascii="仿宋_GB2312" w:hAnsi="仿宋_GB2312" w:eastAsia="仿宋_GB2312" w:cs="仿宋_GB2312"/>
          <w:color w:val="auto"/>
          <w:sz w:val="32"/>
          <w:szCs w:val="32"/>
        </w:rPr>
      </w:pPr>
      <w:bookmarkStart w:id="12" w:name="_Hlk15555192"/>
      <w:r>
        <w:rPr>
          <w:rFonts w:hint="eastAsia" w:ascii="黑体" w:hAnsi="黑体" w:eastAsia="黑体"/>
          <w:color w:val="auto"/>
          <w:sz w:val="32"/>
          <w:szCs w:val="32"/>
        </w:rPr>
        <w:t>第十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w:t>
      </w:r>
      <w:bookmarkStart w:id="13" w:name="_Hlk23868232"/>
      <w:r>
        <w:rPr>
          <w:rFonts w:hint="eastAsia" w:ascii="仿宋_GB2312" w:hAnsi="仿宋_GB2312" w:eastAsia="仿宋_GB2312" w:cs="仿宋_GB2312"/>
          <w:color w:val="auto"/>
          <w:sz w:val="32"/>
          <w:szCs w:val="32"/>
        </w:rPr>
        <w:t>业主、物业使用人负责物业专有部分的安全检查、维护、保养，及时消除安全隐患，对其所有或者使用的窗户、阳台、搁置物、悬挂物等可能影响公共安全的物品和设施设备承担安全管理责任。</w:t>
      </w:r>
      <w:bookmarkEnd w:id="13"/>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业主、物业使用人应当积极配合、协助业主委员会、物业服务企业对共有物业进行安全检查、维护保养等工作。</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w:t>
      </w:r>
      <w:bookmarkStart w:id="14" w:name="_Hlk23868491"/>
      <w:r>
        <w:rPr>
          <w:rFonts w:hint="eastAsia" w:ascii="仿宋_GB2312" w:hAnsi="仿宋_GB2312" w:eastAsia="仿宋_GB2312" w:cs="仿宋_GB2312"/>
          <w:color w:val="auto"/>
          <w:sz w:val="32"/>
          <w:szCs w:val="32"/>
        </w:rPr>
        <w:t>本物业管理区域内业主、物业使用人</w:t>
      </w:r>
      <w:r>
        <w:rPr>
          <w:rFonts w:hint="eastAsia" w:ascii="仿宋_GB2312" w:hAnsi="仿宋_GB2312" w:eastAsia="仿宋_GB2312" w:cs="仿宋_GB2312"/>
          <w:color w:val="auto"/>
          <w:sz w:val="32"/>
          <w:szCs w:val="32"/>
          <w:lang w:eastAsia="zh-CN"/>
        </w:rPr>
        <w:t>不得从事</w:t>
      </w:r>
      <w:r>
        <w:rPr>
          <w:rFonts w:hint="eastAsia" w:ascii="仿宋_GB2312" w:hAnsi="仿宋_GB2312" w:eastAsia="仿宋_GB2312" w:cs="仿宋_GB2312"/>
          <w:color w:val="auto"/>
          <w:sz w:val="32"/>
          <w:szCs w:val="32"/>
        </w:rPr>
        <w:t>下列</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w:t>
      </w:r>
      <w:bookmarkEnd w:id="14"/>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（一）损坏或者擅自变动房屋承重结构</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kern w:val="0"/>
          <w:sz w:val="32"/>
          <w:szCs w:val="32"/>
        </w:rPr>
        <w:t xml:space="preserve">主体结构；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（二）将房间或者阳台改为卫生间、厨房，或者将卫生间改在下层住户的卧室、起居室(厅)、书房和厨房的上方；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（三）未经批准擅自改变房屋内部防火分隔，影响消防安全和疏散要求；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（四）破坏或者擅自改变房屋外观；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（五）违法建造建筑物、构筑物；</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（六）损坏或者擅自占用、改建共有物业；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（七）损坏或者擅自占用、移装共用设施设备；</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（八）擅自建设、接驳排水系统；</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（九）擅自占用、改建、扩建本物业管理区域内道路,擅自进行摆摊设点；</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（十）占用、堵塞、封闭本物业管理区域消防通道；</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（十一）存放不符合安全标准的易燃、易爆、剧毒、放射性等危险性物品，排放有毒、有害物质；</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（十二）侵占或损坏道路、绿地、花卉树木、艺术景观及文体休闲等设施设备；</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（十三）在建筑顶层搭棚设架和随意堆放杂物，在建筑物阳台边沿、窗口及外墙堆放、吊挂物品，从建筑物抛掷物品危害他人人身财产安全，破坏环境卫生等行为；</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（十四）制造超标准噪声和低频噪声，包括大音量播放电视、音响、举行喧闹的聚会、舞会、机器设备噪声等；</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（十五）在共有物业和公共场所悬挂、张贴或乱涂乱画；</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（十六）违反有关规定饲养家禽、家畜及宠物；</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（十七）</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（十八）其他法律、法规规定禁止的行为。</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本物业管理区域内发生前款所列行为时，业主、物业使用人有权投诉、举报，业主委员会、物业服务企业应当及时劝阻，劝阻无效的，业主委员会、物业服务企业应当及时报告</w:t>
      </w:r>
      <w:r>
        <w:rPr>
          <w:rFonts w:hint="eastAsia" w:ascii="仿宋" w:hAnsi="仿宋" w:eastAsia="仿宋" w:cs="仿宋"/>
          <w:color w:val="auto"/>
          <w:kern w:val="1"/>
          <w:sz w:val="32"/>
          <w:szCs w:val="32"/>
        </w:rPr>
        <w:t>本物业</w:t>
      </w:r>
      <w:r>
        <w:rPr>
          <w:rFonts w:hint="eastAsia" w:ascii="仿宋_GB2312" w:hAnsi="仿宋_GB2312" w:eastAsia="仿宋_GB2312" w:cs="仿宋_GB2312"/>
          <w:color w:val="auto"/>
          <w:sz w:val="32"/>
          <w:szCs w:val="32"/>
        </w:rPr>
        <w:t>所在地街道办事处（镇人民政府）或有关政府部门；街道办事处（镇人民政府）或有关政府部门在依法处理时，相关业主、物业使用人应当予以配合。</w:t>
      </w:r>
    </w:p>
    <w:bookmarkEnd w:id="12"/>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eastAsia="zh-CN"/>
        </w:rPr>
        <w:t>六</w:t>
      </w:r>
      <w:r>
        <w:rPr>
          <w:rFonts w:hint="eastAsia" w:ascii="黑体" w:hAnsi="黑体" w:eastAsia="黑体"/>
          <w:color w:val="auto"/>
          <w:sz w:val="32"/>
          <w:szCs w:val="32"/>
        </w:rPr>
        <w:t xml:space="preserve">条 </w:t>
      </w:r>
      <w:r>
        <w:rPr>
          <w:rFonts w:hint="eastAsia" w:ascii="仿宋_GB2312" w:hAnsi="仿宋_GB2312" w:eastAsia="仿宋_GB2312" w:cs="仿宋_GB2312"/>
          <w:color w:val="auto"/>
          <w:sz w:val="32"/>
          <w:szCs w:val="32"/>
        </w:rPr>
        <w:t>业主、物业使用人装饰装修物业专有部分，或者进行其他涉及专有部分的安装、维修及高空作业等活动的，应当事先告知物业服务企业，签订装饰装修管理服务协议。物业使用人在签订协议时应当同时提供有业主签字（章）同意装饰装修的书面意见。</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业主、物业使用人在装饰装修物业时应遵守以下约定：</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（一）在指定地点放置装饰装修材料及装修垃圾，不得擅自占用共有物业和公共场所；</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（二）施工期间应注意噪音问题，尽可能减轻或避免施工过程中对相邻业主、物业使用人的正常生活、学习和工作造成影响；晚间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时至次日上午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时及节假日，不得从事敲、凿、锯、钻等产生噪音的施工；</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（三）未经有关政府部门批准，不得改变物业的功能、结构、外貌和用途，不得增加超出设计规范规定的负荷；</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（四）不得影响物业供电、供水、排水、供气、通讯等使用功能，如有损坏，相关业主、物业使用人应承担相应法律责任；</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（五）因装饰装修房屋影响共有物业、共用设施设备的正常使用或侵害相邻业主合法权益的，应及时恢复原状并承担相应法律责任；</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（六）按规定可以安装防盗网的，应按照统一的标准制作安装，以保持本物业管理区域外观统一；</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（七）业主、物业使用人交纳装饰装修保证金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元。如违反法律法规的有关规定，违反本规约、装饰装修管理服务协议的有关约定，且拒不更正的，则装饰装修保证金不予退还，扣除物业企业实际支出的必要费用后，剩余部分列入业主共有资金使用；</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业主、物业使用人在物业使用过程中，应遵守下列约定：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（一）空调安装：应按设计预留的位置安装空调，未预留设计位置的，应按物业服务企业指定的位置安装，并按要求做好噪音及冷凝水的处理。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（二）电梯使用：安全、规范地使用电梯、扶梯，遵守本物业管理区域的电梯、扶梯使用管理规定。损坏电梯设备的，相关业主、物业使用人应承担相应法律责任。</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（三）车辆停放：本物业管理区域内的车辆行驶和停放，应遵守以下规则：</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1.超过</w:t>
      </w:r>
      <w:r>
        <w:rPr>
          <w:rFonts w:hint="eastAsia" w:ascii="仿宋_GB2312" w:hAnsi="仿宋_GB2312" w:eastAsia="仿宋_GB2312" w:cs="仿宋_GB2312"/>
          <w:color w:val="auto"/>
          <w:sz w:val="32"/>
          <w:szCs w:val="32"/>
          <w:u w:val="single"/>
        </w:rPr>
        <w:t xml:space="preserve"> 2 </w:t>
      </w:r>
      <w:r>
        <w:rPr>
          <w:rFonts w:hint="eastAsia" w:ascii="仿宋_GB2312" w:hAnsi="仿宋_GB2312" w:eastAsia="仿宋_GB2312" w:cs="仿宋_GB2312"/>
          <w:color w:val="auto"/>
          <w:sz w:val="32"/>
          <w:szCs w:val="32"/>
        </w:rPr>
        <w:t>吨以上载重的货车、大型客车以及载有易爆、剧毒、放射性等危险品的车辆禁止进入本物业管理区域；</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2.机动车辆在本物业管理区域内行驶，时速不得超过</w:t>
      </w:r>
      <w:r>
        <w:rPr>
          <w:rFonts w:hint="eastAsia" w:ascii="仿宋_GB2312" w:hAnsi="仿宋_GB2312" w:eastAsia="仿宋_GB2312" w:cs="仿宋_GB2312"/>
          <w:color w:val="auto"/>
          <w:sz w:val="32"/>
          <w:szCs w:val="32"/>
          <w:u w:val="single"/>
        </w:rPr>
        <w:t xml:space="preserve"> 5 </w:t>
      </w:r>
      <w:r>
        <w:rPr>
          <w:rFonts w:hint="eastAsia" w:ascii="仿宋_GB2312" w:hAnsi="仿宋_GB2312" w:eastAsia="仿宋_GB2312" w:cs="仿宋_GB2312"/>
          <w:color w:val="auto"/>
          <w:sz w:val="32"/>
          <w:szCs w:val="32"/>
        </w:rPr>
        <w:t>公里，禁止鸣笛、练车；</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3.机动车应在规定的车位停放，禁止在消防通道、消防井盖、绿地等场地停放；</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4.按规定缴纳机动车停放服务费；</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5.未经业主共同决定，禁止擅自在</w:t>
      </w:r>
      <w:r>
        <w:rPr>
          <w:rFonts w:hint="eastAsia" w:ascii="仿宋_GB2312" w:hAnsi="仿宋_GB2312" w:eastAsia="仿宋_GB2312" w:cs="仿宋_GB2312"/>
          <w:color w:val="auto"/>
          <w:sz w:val="32"/>
          <w:szCs w:val="32"/>
          <w:lang w:eastAsia="zh-CN"/>
        </w:rPr>
        <w:t>非专有</w:t>
      </w:r>
      <w:r>
        <w:rPr>
          <w:rFonts w:hint="eastAsia" w:ascii="仿宋_GB2312" w:hAnsi="仿宋_GB2312" w:eastAsia="仿宋_GB2312" w:cs="仿宋_GB2312"/>
          <w:color w:val="auto"/>
          <w:sz w:val="32"/>
          <w:szCs w:val="32"/>
        </w:rPr>
        <w:t>停车位上安装任何装置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车辆停放期间，防盗报警器应使用静音，防止发生噪音影响他人正常的生活、学习、工作和休息；</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ascii="仿宋_GB2312" w:hAnsi="仿宋_GB2312" w:eastAsia="仿宋_GB2312" w:cs="仿宋_GB2312"/>
          <w:color w:val="auto"/>
          <w:sz w:val="32"/>
          <w:szCs w:val="32"/>
        </w:rPr>
        <w:t>.</w:t>
      </w:r>
      <w:r>
        <w:rPr>
          <w:rFonts w:hint="eastAsia"/>
          <w:color w:val="auto"/>
        </w:rPr>
        <w:t xml:space="preserve"> </w:t>
      </w:r>
      <w:r>
        <w:rPr>
          <w:rFonts w:hint="eastAsia" w:ascii="仿宋_GB2312" w:hAnsi="仿宋_GB2312" w:eastAsia="仿宋_GB2312" w:cs="仿宋_GB2312"/>
          <w:color w:val="auto"/>
          <w:sz w:val="32"/>
          <w:szCs w:val="32"/>
        </w:rPr>
        <w:t>禁止在用于停放汽车的公共车位（库）上停放电动摩托车、电动自行车和自行车；</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7.禁止在公共门厅、疏散走道、消防通道、楼梯间、安全出口等公共部位停放电动自行车或者为电动自行车充电。</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（四）休闲娱乐：广场舞时间不应早于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点整或超过</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点整，白天音乐声不得超过</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分贝，晚上不得超过</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分贝；在每年高考和中考前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天，以及高考中考等特殊时间段期间，应暂停所有带有音响设备的健身</w:t>
      </w:r>
      <w:bookmarkStart w:id="15" w:name="_Hlk15555565"/>
      <w:r>
        <w:rPr>
          <w:rFonts w:hint="eastAsia" w:ascii="仿宋_GB2312" w:hAnsi="仿宋_GB2312" w:eastAsia="仿宋_GB2312" w:cs="仿宋_GB2312"/>
          <w:color w:val="auto"/>
          <w:sz w:val="32"/>
          <w:szCs w:val="32"/>
        </w:rPr>
        <w:t>等休闲娱乐</w:t>
      </w:r>
      <w:bookmarkEnd w:id="15"/>
      <w:r>
        <w:rPr>
          <w:rFonts w:hint="eastAsia" w:ascii="仿宋_GB2312" w:hAnsi="仿宋_GB2312" w:eastAsia="仿宋_GB2312" w:cs="仿宋_GB2312"/>
          <w:color w:val="auto"/>
          <w:sz w:val="32"/>
          <w:szCs w:val="32"/>
        </w:rPr>
        <w:t>活动。</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仿宋_GB2312" w:hAnsi="仿宋_GB2312" w:eastAsia="仿宋_GB2312" w:cs="仿宋_GB2312"/>
          <w:b/>
          <w:bCs/>
          <w:color w:val="auto"/>
          <w:sz w:val="32"/>
          <w:szCs w:val="32"/>
        </w:rPr>
        <w:t xml:space="preserve"> </w:t>
      </w:r>
      <w:bookmarkStart w:id="16" w:name="_Hlk15555675"/>
      <w:r>
        <w:rPr>
          <w:rFonts w:hint="eastAsia" w:ascii="仿宋_GB2312" w:hAnsi="仿宋_GB2312" w:eastAsia="仿宋_GB2312" w:cs="仿宋_GB2312"/>
          <w:color w:val="auto"/>
          <w:sz w:val="32"/>
          <w:szCs w:val="32"/>
        </w:rPr>
        <w:t>业主、物业使用人在本物业管理区域内饲养动物不得违反法律、法规的规定，并应遵守以下约定：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（一）履行养犬登记制度，养犬人应当到</w:t>
      </w:r>
      <w:r>
        <w:rPr>
          <w:rFonts w:hint="eastAsia" w:ascii="仿宋" w:hAnsi="仿宋" w:eastAsia="仿宋" w:cs="仿宋"/>
          <w:color w:val="auto"/>
          <w:kern w:val="1"/>
          <w:sz w:val="32"/>
          <w:szCs w:val="32"/>
        </w:rPr>
        <w:t>本物业所在地</w:t>
      </w:r>
      <w:r>
        <w:rPr>
          <w:rFonts w:hint="eastAsia" w:ascii="仿宋_GB2312" w:hAnsi="仿宋_GB2312" w:eastAsia="仿宋_GB2312" w:cs="仿宋_GB2312"/>
          <w:color w:val="auto"/>
          <w:sz w:val="32"/>
          <w:szCs w:val="32"/>
        </w:rPr>
        <w:t>相关政府部门申请养犬登记。未经登记的，任何单位和个人不得擅自饲养犬只；</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（二）不得饲养烈性犬和大型犬；</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（三）不得影响其他业主、物业使用人的正常生活、工作和学习，犬吠影响他人的，养犬人应当采取有效措施予以制止；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（四）小区内遛狗必须采取使用牵引绳、佩戴狗牌等有效措施，防止犬只伤人；</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（五）养犬人应当及时处置动物的排泄物，不得影响公共环境的卫生和美观；</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（六）禁止在本物业管理区域内设立犬只养殖、销售场所；</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本物业管理区域内，业主、物业使用人应当遵守法律、法规中关于生活垃圾分类投放的有关规定，接受本物业管理区域内</w:t>
      </w:r>
      <w:r>
        <w:rPr>
          <w:rFonts w:hint="eastAsia" w:ascii="仿宋_GB2312" w:hAnsi="仿宋_GB2312" w:eastAsia="仿宋_GB2312" w:cs="仿宋_GB2312"/>
          <w:color w:val="auto"/>
          <w:spacing w:val="-6"/>
          <w:sz w:val="32"/>
          <w:szCs w:val="32"/>
        </w:rPr>
        <w:t>生活垃圾分类投放管理责任人</w:t>
      </w:r>
      <w:r>
        <w:rPr>
          <w:rFonts w:hint="eastAsia" w:ascii="仿宋_GB2312" w:hAnsi="仿宋_GB2312" w:eastAsia="仿宋_GB2312" w:cs="仿宋_GB2312"/>
          <w:color w:val="auto"/>
          <w:sz w:val="32"/>
          <w:szCs w:val="32"/>
        </w:rPr>
        <w:t>的管理，禁止乱扔生活垃圾。</w:t>
      </w:r>
    </w:p>
    <w:bookmarkEnd w:id="16"/>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二</w:t>
      </w:r>
      <w:r>
        <w:rPr>
          <w:rFonts w:hint="eastAsia" w:ascii="黑体" w:hAnsi="黑体" w:eastAsia="黑体"/>
          <w:color w:val="auto"/>
          <w:sz w:val="32"/>
          <w:szCs w:val="32"/>
        </w:rPr>
        <w:t>十条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本物业管理区域内业主、物业使用人将房屋租赁的，不得擅自改变房屋原设计功能和布局；不得将原始设计为居住空间的房屋分割、分隔后出租；不得将原始设计为厨房、卫生间、阳台和地下储藏室等非居住空间通过改建、搭建后出租供人居住。</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物业使用人有上述行为，物业服务企业、业主委员会可书面要求业主、物业使用人限期整改。业主、物业使用人应当及时整改，并采取措施，确保出租房屋的使用安全。业主、物业使用人拒不整改的，业主委员会、物业服务企业应当及时上报所在社区、镇街。</w:t>
      </w:r>
    </w:p>
    <w:p>
      <w:pPr>
        <w:numPr>
          <w:ilvl w:val="0"/>
          <w:numId w:val="1"/>
        </w:numPr>
        <w:spacing w:beforeLines="5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物业维修、养护和共有物业收益管理</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业主、物业使用人应当按照下列规定维修、养护物业：</w:t>
      </w:r>
    </w:p>
    <w:p>
      <w:pPr>
        <w:numPr>
          <w:ilvl w:val="0"/>
          <w:numId w:val="3"/>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对物业专有部分的维修、养护，不得侵害其他业主的合法权益；</w:t>
      </w:r>
    </w:p>
    <w:p>
      <w:pPr>
        <w:numPr>
          <w:ilvl w:val="0"/>
          <w:numId w:val="3"/>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因维修养护专有部分，确需临时占用、挖掘道路和场地的，业主、物业使用人应当书面告知物业服务企业、业主委员会，并应在约定期限内恢复原状，如造成第三方损失的，应当承担相应法律责任；</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如物业服务企业因维修养护共有物业确需进入相关业主物业专有部分时，相关业主、物业使用人应予以配合；业主、物业使用人因维护专有部分需进入其他业主物业专有部分的，其他业主、物业使用人应当提供方便；相关业主、物业使用人阻挠维修、养护造成物业损坏及其他损失的，应及时修复，并承担相应法律责任；</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物业专有部分在使用中存在安全隐患，已经或者即将危及公共利益及他人利益的，业主、物业使用人应当及时维修；业主、物业使用人不履行或者无法履行维修义务的，物业服务企业、业主委员会、居民委员会</w:t>
      </w:r>
      <w:r>
        <w:rPr>
          <w:rFonts w:hint="eastAsia" w:ascii="仿宋_GB2312" w:hAnsi="宋体" w:eastAsia="仿宋_GB2312" w:cs="宋体"/>
          <w:color w:val="auto"/>
          <w:sz w:val="32"/>
          <w:szCs w:val="32"/>
        </w:rPr>
        <w:t>等可组织应急维修，</w:t>
      </w:r>
      <w:r>
        <w:rPr>
          <w:rFonts w:hint="eastAsia" w:ascii="仿宋_GB2312" w:hAnsi="仿宋_GB2312" w:eastAsia="仿宋_GB2312" w:cs="仿宋_GB2312"/>
          <w:color w:val="auto"/>
          <w:sz w:val="32"/>
          <w:szCs w:val="32"/>
        </w:rPr>
        <w:t>应急维修单位可在本物业所在地街道办事处(镇政府)、公证机构等到场见证下实施应急维修，维修中发生的费用由相应的业主、物业使用人承担。业主拒不配合应急抢修的，所产生的公共及他人利益损失，由该业主承担。</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业主委员会、物业服务企业从事物业维护、修缮、装修监督等工作时，业主、物业使用人应当提供方便。供水、排水、供电、供气、通讯等</w:t>
      </w:r>
      <w:r>
        <w:rPr>
          <w:rFonts w:hint="eastAsia" w:ascii="仿宋_GB2312" w:hAnsi="仿宋_GB2312" w:eastAsia="仿宋_GB2312" w:cs="仿宋_GB2312"/>
          <w:color w:val="auto"/>
          <w:kern w:val="1"/>
          <w:sz w:val="32"/>
          <w:szCs w:val="32"/>
        </w:rPr>
        <w:t>相关专营单位</w:t>
      </w:r>
      <w:r>
        <w:rPr>
          <w:rFonts w:hint="eastAsia" w:ascii="仿宋_GB2312" w:hAnsi="仿宋_GB2312" w:eastAsia="仿宋_GB2312" w:cs="仿宋_GB2312"/>
          <w:color w:val="auto"/>
          <w:sz w:val="32"/>
          <w:szCs w:val="32"/>
        </w:rPr>
        <w:t>因维护、修缮、改造或者设置管线等工作，需要进入本物业管理区域或者使用业主物业专有部分时，业主委员会、物业服务企业、业主、物业使用人等应当予以配合，提供便利，并不得擅自收取费用。</w:t>
      </w:r>
    </w:p>
    <w:p>
      <w:pPr>
        <w:tabs>
          <w:tab w:val="left" w:pos="5812"/>
        </w:tabs>
        <w:spacing w:line="560" w:lineRule="exact"/>
        <w:ind w:firstLine="641"/>
        <w:rPr>
          <w:rFonts w:ascii="仿宋_GB2312" w:eastAsia="仿宋_GB2312" w:cs="Gungsuh" w:hAnsiTheme="minorEastAsia"/>
          <w:color w:val="auto"/>
          <w:sz w:val="32"/>
          <w:szCs w:val="32"/>
          <w:u w:val="single"/>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共有物业收益，</w:t>
      </w:r>
      <w:r>
        <w:rPr>
          <w:rFonts w:hint="eastAsia" w:ascii="仿宋_GB2312" w:eastAsia="仿宋_GB2312" w:cs="Gungsuh" w:hAnsiTheme="minorEastAsia"/>
          <w:color w:val="auto"/>
          <w:sz w:val="32"/>
          <w:szCs w:val="32"/>
        </w:rPr>
        <w:t>具体包括：</w:t>
      </w:r>
      <w:r>
        <w:rPr>
          <w:rStyle w:val="12"/>
          <w:rFonts w:hint="eastAsia" w:ascii="仿宋_GB2312" w:eastAsia="仿宋_GB2312" w:cs="Gungsuh" w:hAnsiTheme="minorEastAsia"/>
          <w:color w:val="auto"/>
          <w:sz w:val="32"/>
          <w:szCs w:val="32"/>
        </w:rPr>
        <w:endnoteReference w:id="0"/>
      </w:r>
    </w:p>
    <w:p>
      <w:pPr>
        <w:ind w:right="210" w:rightChars="100" w:firstLine="640" w:firstLineChars="200"/>
        <w:rPr>
          <w:rFonts w:ascii="仿宋_GB2312" w:eastAsia="仿宋_GB2312" w:cs="Times New Roman" w:hAnsiTheme="minorEastAsia"/>
          <w:color w:val="auto"/>
          <w:sz w:val="32"/>
          <w:szCs w:val="32"/>
        </w:rPr>
      </w:pPr>
      <w:r>
        <w:rPr>
          <w:rFonts w:hint="eastAsia" w:ascii="仿宋_GB2312" w:eastAsia="仿宋_GB2312" w:cs="Times New Roman" w:hAnsiTheme="minorEastAsia"/>
          <w:color w:val="auto"/>
          <w:sz w:val="32"/>
          <w:szCs w:val="32"/>
        </w:rPr>
        <w:t>1、 利用电梯、外墙、楼顶等物业共用部位、共用设施设备发布广告的收益；</w:t>
      </w:r>
    </w:p>
    <w:p>
      <w:pPr>
        <w:ind w:right="210" w:rightChars="100" w:firstLine="640" w:firstLineChars="200"/>
        <w:rPr>
          <w:rFonts w:ascii="仿宋_GB2312" w:eastAsia="仿宋_GB2312" w:cs="Times New Roman" w:hAnsiTheme="minorEastAsia"/>
          <w:color w:val="auto"/>
          <w:sz w:val="32"/>
          <w:szCs w:val="32"/>
        </w:rPr>
      </w:pPr>
      <w:r>
        <w:rPr>
          <w:rFonts w:hint="eastAsia" w:ascii="仿宋_GB2312" w:eastAsia="仿宋_GB2312" w:cs="Times New Roman" w:hAnsiTheme="minorEastAsia"/>
          <w:color w:val="auto"/>
          <w:sz w:val="32"/>
          <w:szCs w:val="32"/>
        </w:rPr>
        <w:t>2、利用公共配套设施如活动场地、会所、游泳池等经营的收益；</w:t>
      </w:r>
    </w:p>
    <w:p>
      <w:pPr>
        <w:ind w:right="210" w:rightChars="100" w:firstLine="640" w:firstLineChars="200"/>
        <w:rPr>
          <w:rFonts w:ascii="仿宋_GB2312" w:eastAsia="仿宋_GB2312" w:cs="Times New Roman" w:hAnsiTheme="minorEastAsia"/>
          <w:color w:val="auto"/>
          <w:sz w:val="32"/>
          <w:szCs w:val="32"/>
          <w:u w:val="single"/>
        </w:rPr>
      </w:pPr>
      <w:r>
        <w:rPr>
          <w:rFonts w:hint="eastAsia" w:ascii="仿宋_GB2312" w:eastAsia="仿宋_GB2312" w:cs="Times New Roman" w:hAnsiTheme="minorEastAsia"/>
          <w:color w:val="auto"/>
          <w:sz w:val="32"/>
          <w:szCs w:val="32"/>
        </w:rPr>
        <w:t>3、小区地上停车位等公共停车场的收益；</w:t>
      </w:r>
    </w:p>
    <w:p>
      <w:pPr>
        <w:ind w:right="210" w:rightChars="100" w:firstLine="640" w:firstLineChars="200"/>
        <w:rPr>
          <w:rFonts w:ascii="仿宋_GB2312" w:eastAsia="仿宋_GB2312" w:cs="Times New Roman" w:hAnsiTheme="minorEastAsia"/>
          <w:color w:val="auto"/>
          <w:sz w:val="32"/>
          <w:szCs w:val="32"/>
        </w:rPr>
      </w:pPr>
      <w:r>
        <w:rPr>
          <w:rFonts w:hint="eastAsia" w:ascii="仿宋_GB2312" w:eastAsia="仿宋_GB2312" w:cs="Times New Roman" w:hAnsiTheme="minorEastAsia"/>
          <w:color w:val="auto"/>
          <w:sz w:val="32"/>
          <w:szCs w:val="32"/>
        </w:rPr>
        <w:t>4、商业或促销类型的活动进入小区产生的收益，包括摊位租金、摊位费、入场费、场地费、</w:t>
      </w:r>
      <w:r>
        <w:rPr>
          <w:rFonts w:hint="eastAsia" w:ascii="仿宋_GB2312" w:eastAsia="仿宋_GB2312" w:cs="Times New Roman" w:hAnsiTheme="minorEastAsia"/>
          <w:color w:val="auto"/>
          <w:sz w:val="32"/>
          <w:szCs w:val="32"/>
          <w:u w:val="single"/>
        </w:rPr>
        <w:t xml:space="preserve">            </w:t>
      </w:r>
      <w:r>
        <w:rPr>
          <w:rFonts w:hint="eastAsia" w:ascii="仿宋_GB2312" w:eastAsia="仿宋_GB2312" w:cs="Times New Roman" w:hAnsiTheme="minorEastAsia"/>
          <w:color w:val="auto"/>
          <w:sz w:val="32"/>
          <w:szCs w:val="32"/>
        </w:rPr>
        <w:t>等；</w:t>
      </w:r>
    </w:p>
    <w:p>
      <w:pPr>
        <w:ind w:right="210" w:rightChars="100" w:firstLine="640" w:firstLineChars="200"/>
        <w:rPr>
          <w:rFonts w:ascii="仿宋_GB2312" w:eastAsia="仿宋_GB2312" w:cs="Times New Roman" w:hAnsiTheme="minorEastAsia"/>
          <w:color w:val="auto"/>
          <w:sz w:val="32"/>
          <w:szCs w:val="32"/>
        </w:rPr>
      </w:pPr>
      <w:r>
        <w:rPr>
          <w:rFonts w:hint="eastAsia" w:ascii="仿宋_GB2312" w:eastAsia="仿宋_GB2312" w:cs="Times New Roman" w:hAnsiTheme="minorEastAsia"/>
          <w:color w:val="auto"/>
          <w:sz w:val="32"/>
          <w:szCs w:val="32"/>
        </w:rPr>
        <w:t>5、属于全体业主共有的房屋出租产生的租赁费</w:t>
      </w:r>
      <w:r>
        <w:rPr>
          <w:rFonts w:hint="eastAsia" w:ascii="仿宋_GB2312" w:eastAsia="仿宋_GB2312" w:cs="Times New Roman" w:hAnsiTheme="minorEastAsia"/>
          <w:color w:val="auto"/>
          <w:sz w:val="32"/>
          <w:szCs w:val="32"/>
          <w:u w:val="single"/>
        </w:rPr>
        <w:t xml:space="preserve">                            </w:t>
      </w:r>
      <w:r>
        <w:rPr>
          <w:rFonts w:hint="eastAsia" w:ascii="仿宋_GB2312" w:eastAsia="仿宋_GB2312" w:cs="Times New Roman" w:hAnsiTheme="minorEastAsia"/>
          <w:color w:val="auto"/>
          <w:sz w:val="32"/>
          <w:szCs w:val="32"/>
        </w:rPr>
        <w:t>；</w:t>
      </w:r>
    </w:p>
    <w:p>
      <w:pPr>
        <w:ind w:right="210" w:rightChars="100" w:firstLine="640" w:firstLineChars="200"/>
        <w:rPr>
          <w:rFonts w:ascii="仿宋_GB2312" w:eastAsia="仿宋_GB2312" w:cs="Times New Roman" w:hAnsiTheme="minorEastAsia"/>
          <w:color w:val="auto"/>
          <w:sz w:val="32"/>
          <w:szCs w:val="32"/>
        </w:rPr>
      </w:pPr>
      <w:r>
        <w:rPr>
          <w:rFonts w:hint="eastAsia" w:ascii="仿宋_GB2312" w:eastAsia="仿宋_GB2312" w:cs="Times New Roman" w:hAnsiTheme="minorEastAsia"/>
          <w:color w:val="auto"/>
          <w:sz w:val="32"/>
          <w:szCs w:val="32"/>
        </w:rPr>
        <w:t>6、部分通信运营管理费</w:t>
      </w:r>
      <w:r>
        <w:rPr>
          <w:rFonts w:hint="eastAsia" w:ascii="仿宋_GB2312" w:eastAsia="仿宋_GB2312" w:cs="Times New Roman" w:hAnsiTheme="minorEastAsia"/>
          <w:color w:val="auto"/>
          <w:sz w:val="32"/>
          <w:szCs w:val="32"/>
          <w:u w:val="single"/>
        </w:rPr>
        <w:t xml:space="preserve">                   </w:t>
      </w:r>
      <w:r>
        <w:rPr>
          <w:rFonts w:hint="eastAsia" w:ascii="仿宋_GB2312" w:eastAsia="仿宋_GB2312" w:cs="Times New Roman" w:hAnsiTheme="minorEastAsia"/>
          <w:color w:val="auto"/>
          <w:sz w:val="32"/>
          <w:szCs w:val="32"/>
        </w:rPr>
        <w:t xml:space="preserve">；  </w:t>
      </w:r>
    </w:p>
    <w:p>
      <w:pPr>
        <w:ind w:right="210" w:rightChars="100" w:firstLine="640" w:firstLineChars="200"/>
        <w:rPr>
          <w:rFonts w:ascii="仿宋_GB2312" w:eastAsia="仿宋_GB2312" w:cs="Times New Roman" w:hAnsiTheme="minorEastAsia"/>
          <w:color w:val="auto"/>
          <w:sz w:val="32"/>
          <w:szCs w:val="32"/>
        </w:rPr>
      </w:pPr>
      <w:r>
        <w:rPr>
          <w:rFonts w:hint="eastAsia" w:ascii="仿宋_GB2312" w:eastAsia="仿宋_GB2312" w:cs="Times New Roman" w:hAnsiTheme="minorEastAsia"/>
          <w:color w:val="auto"/>
          <w:sz w:val="32"/>
          <w:szCs w:val="32"/>
        </w:rPr>
        <w:t>7、物业共用部位和共用设施设备被损坏或违法使用得到的赔偿；</w:t>
      </w:r>
    </w:p>
    <w:p>
      <w:pPr>
        <w:ind w:right="210" w:rightChars="100" w:firstLine="640" w:firstLineChars="200"/>
        <w:rPr>
          <w:rFonts w:ascii="仿宋_GB2312" w:eastAsia="仿宋_GB2312" w:cs="Times New Roman" w:hAnsiTheme="minorEastAsia"/>
          <w:color w:val="auto"/>
          <w:sz w:val="32"/>
          <w:szCs w:val="32"/>
        </w:rPr>
      </w:pPr>
      <w:r>
        <w:rPr>
          <w:rFonts w:hint="eastAsia" w:ascii="仿宋_GB2312" w:eastAsia="仿宋_GB2312" w:cs="Times New Roman" w:hAnsiTheme="minorEastAsia"/>
          <w:color w:val="auto"/>
          <w:sz w:val="32"/>
          <w:szCs w:val="32"/>
        </w:rPr>
        <w:t>8、因使用物业共用部位、共用设施设备而收取的违约金、滞纳金等，</w:t>
      </w:r>
      <w:r>
        <w:rPr>
          <w:rFonts w:hint="eastAsia" w:ascii="仿宋_GB2312" w:hAnsi="仿宋_GB2312" w:eastAsia="仿宋_GB2312" w:cs="仿宋_GB2312"/>
          <w:color w:val="auto"/>
          <w:sz w:val="32"/>
          <w:szCs w:val="32"/>
        </w:rPr>
        <w:t>扣除物业企业实际支出必要费用后的剩余部分</w:t>
      </w:r>
      <w:r>
        <w:rPr>
          <w:rFonts w:hint="eastAsia" w:ascii="仿宋_GB2312" w:eastAsia="仿宋_GB2312" w:cs="Times New Roman" w:hAnsiTheme="minorEastAsia"/>
          <w:color w:val="auto"/>
          <w:sz w:val="32"/>
          <w:szCs w:val="32"/>
        </w:rPr>
        <w:t xml:space="preserve"> ；  </w:t>
      </w:r>
    </w:p>
    <w:p>
      <w:pPr>
        <w:ind w:right="210" w:rightChars="100" w:firstLine="640" w:firstLineChars="200"/>
        <w:rPr>
          <w:rFonts w:ascii="仿宋_GB2312" w:eastAsia="仿宋_GB2312" w:cs="Times New Roman" w:hAnsiTheme="minorEastAsia"/>
          <w:color w:val="auto"/>
          <w:sz w:val="32"/>
          <w:szCs w:val="32"/>
        </w:rPr>
      </w:pPr>
      <w:r>
        <w:rPr>
          <w:rFonts w:hint="eastAsia" w:ascii="仿宋_GB2312" w:eastAsia="仿宋_GB2312" w:cs="Times New Roman" w:hAnsiTheme="minorEastAsia"/>
          <w:color w:val="auto"/>
          <w:sz w:val="32"/>
          <w:szCs w:val="32"/>
        </w:rPr>
        <w:t>9、 其他利用物业共用部位、共用设施设备经营产生的收益。</w:t>
      </w:r>
    </w:p>
    <w:p>
      <w:pPr>
        <w:tabs>
          <w:tab w:val="left" w:pos="5812"/>
        </w:tabs>
        <w:spacing w:line="560" w:lineRule="exact"/>
        <w:ind w:firstLine="6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10、其他合法收入。</w:t>
      </w:r>
    </w:p>
    <w:p>
      <w:pPr>
        <w:pStyle w:val="2"/>
        <w:rPr>
          <w:rFonts w:hint="default" w:eastAsia="仿宋_GB2312"/>
          <w:color w:val="auto"/>
          <w:lang w:val="en-US" w:eastAsia="zh-CN"/>
        </w:rPr>
      </w:pPr>
      <w:r>
        <w:rPr>
          <w:rFonts w:hint="eastAsia" w:ascii="仿宋_GB2312" w:hAnsi="仿宋_GB2312" w:eastAsia="仿宋_GB2312" w:cs="仿宋_GB2312"/>
          <w:color w:val="auto"/>
          <w:sz w:val="32"/>
          <w:szCs w:val="32"/>
          <w:lang w:val="en-US" w:eastAsia="zh-CN"/>
        </w:rPr>
        <w:t xml:space="preserve">    共有物业收益应当按季度在物业管理区域的显著位置进行公示，公示期不得少于一个月。</w:t>
      </w:r>
    </w:p>
    <w:p>
      <w:pPr>
        <w:ind w:right="210" w:rightChars="100" w:firstLine="640" w:firstLineChars="200"/>
        <w:rPr>
          <w:rFonts w:ascii="仿宋_GB2312" w:eastAsia="仿宋_GB2312" w:cs="Gungsuh" w:hAnsiTheme="minorEastAsia"/>
          <w:color w:val="auto"/>
          <w:sz w:val="32"/>
          <w:szCs w:val="32"/>
        </w:rPr>
      </w:pPr>
      <w:r>
        <w:rPr>
          <w:rFonts w:hint="eastAsia" w:ascii="黑体" w:hAnsi="黑体" w:eastAsia="黑体" w:cs="宋体"/>
          <w:b w:val="0"/>
          <w:bCs/>
          <w:color w:val="auto"/>
          <w:sz w:val="32"/>
          <w:szCs w:val="32"/>
        </w:rPr>
        <w:t>第二十</w:t>
      </w:r>
      <w:r>
        <w:rPr>
          <w:rFonts w:hint="eastAsia" w:ascii="黑体" w:hAnsi="黑体" w:eastAsia="黑体" w:cs="宋体"/>
          <w:b w:val="0"/>
          <w:bCs/>
          <w:color w:val="auto"/>
          <w:sz w:val="32"/>
          <w:szCs w:val="32"/>
          <w:lang w:eastAsia="zh-CN"/>
        </w:rPr>
        <w:t>四</w:t>
      </w:r>
      <w:r>
        <w:rPr>
          <w:rFonts w:hint="eastAsia" w:ascii="黑体" w:hAnsi="黑体" w:eastAsia="黑体" w:cs="宋体"/>
          <w:b w:val="0"/>
          <w:bCs/>
          <w:color w:val="auto"/>
          <w:sz w:val="32"/>
          <w:szCs w:val="32"/>
        </w:rPr>
        <w:t xml:space="preserve">条 </w:t>
      </w:r>
      <w:r>
        <w:rPr>
          <w:rFonts w:hint="eastAsia" w:ascii="仿宋_GB2312" w:eastAsia="仿宋_GB2312" w:cs="宋体" w:hAnsiTheme="minorEastAsia"/>
          <w:b/>
          <w:color w:val="auto"/>
          <w:sz w:val="32"/>
          <w:szCs w:val="32"/>
        </w:rPr>
        <w:t xml:space="preserve"> </w:t>
      </w:r>
      <w:r>
        <w:rPr>
          <w:rFonts w:hint="eastAsia" w:ascii="仿宋_GB2312" w:hAnsi="仿宋_GB2312" w:eastAsia="仿宋_GB2312" w:cs="仿宋_GB2312"/>
          <w:color w:val="auto"/>
          <w:sz w:val="32"/>
          <w:szCs w:val="32"/>
        </w:rPr>
        <w:t>共有物业收益</w:t>
      </w:r>
      <w:r>
        <w:rPr>
          <w:rFonts w:hint="eastAsia" w:ascii="仿宋_GB2312" w:eastAsia="仿宋_GB2312" w:cs="Gungsuh" w:hAnsiTheme="minorEastAsia"/>
          <w:color w:val="auto"/>
          <w:sz w:val="32"/>
          <w:szCs w:val="32"/>
        </w:rPr>
        <w:t>用于：</w:t>
      </w:r>
    </w:p>
    <w:p>
      <w:pPr>
        <w:ind w:right="210" w:rightChars="100" w:firstLine="640" w:firstLineChars="200"/>
        <w:rPr>
          <w:rFonts w:ascii="仿宋_GB2312" w:eastAsia="仿宋_GB2312" w:cs="Gungsuh" w:hAnsiTheme="minorEastAsia"/>
          <w:color w:val="auto"/>
          <w:sz w:val="32"/>
          <w:szCs w:val="32"/>
        </w:rPr>
      </w:pPr>
      <w:r>
        <w:rPr>
          <w:rFonts w:hint="eastAsia" w:ascii="仿宋_GB2312" w:eastAsia="仿宋_GB2312" w:cs="Gungsuh" w:hAnsiTheme="minorEastAsia"/>
          <w:color w:val="auto"/>
          <w:sz w:val="32"/>
          <w:szCs w:val="32"/>
        </w:rPr>
        <w:t>（一）补充相应的住宅专项维修资金；</w:t>
      </w:r>
    </w:p>
    <w:p>
      <w:pPr>
        <w:ind w:right="210" w:rightChars="100" w:firstLine="640" w:firstLineChars="200"/>
        <w:rPr>
          <w:rFonts w:ascii="仿宋_GB2312" w:eastAsia="仿宋_GB2312" w:cs="Gungsuh" w:hAnsiTheme="minorEastAsia"/>
          <w:color w:val="auto"/>
          <w:sz w:val="32"/>
          <w:szCs w:val="32"/>
        </w:rPr>
      </w:pPr>
      <w:r>
        <w:rPr>
          <w:rFonts w:hint="eastAsia" w:ascii="仿宋_GB2312" w:eastAsia="仿宋_GB2312" w:cs="Gungsuh" w:hAnsiTheme="minorEastAsia"/>
          <w:color w:val="auto"/>
          <w:sz w:val="32"/>
          <w:szCs w:val="32"/>
        </w:rPr>
        <w:t>（二）经公示的年度预算支出；</w:t>
      </w:r>
    </w:p>
    <w:p>
      <w:pPr>
        <w:ind w:right="210" w:rightChars="100" w:firstLine="640" w:firstLineChars="200"/>
        <w:rPr>
          <w:rFonts w:ascii="仿宋_GB2312" w:eastAsia="仿宋_GB2312" w:cs="Gungsuh" w:hAnsiTheme="minorEastAsia"/>
          <w:color w:val="auto"/>
          <w:sz w:val="32"/>
          <w:szCs w:val="32"/>
        </w:rPr>
      </w:pPr>
      <w:r>
        <w:rPr>
          <w:rFonts w:hint="eastAsia" w:ascii="仿宋_GB2312" w:eastAsia="仿宋_GB2312" w:cs="Gungsuh" w:hAnsiTheme="minorEastAsia"/>
          <w:color w:val="auto"/>
          <w:sz w:val="32"/>
          <w:szCs w:val="32"/>
        </w:rPr>
        <w:t>（三）财务、审计、物业服务评估、聘请专业第三方机构等产生的费用；</w:t>
      </w:r>
    </w:p>
    <w:p>
      <w:pPr>
        <w:tabs>
          <w:tab w:val="left" w:pos="5812"/>
        </w:tabs>
        <w:spacing w:line="560" w:lineRule="exact"/>
        <w:ind w:firstLine="641"/>
        <w:rPr>
          <w:rFonts w:hint="eastAsia" w:ascii="仿宋_GB2312" w:eastAsia="仿宋_GB2312" w:cs="Gungsuh" w:hAnsiTheme="minorEastAsia"/>
          <w:color w:val="auto"/>
          <w:sz w:val="32"/>
          <w:szCs w:val="32"/>
        </w:rPr>
      </w:pPr>
      <w:r>
        <w:rPr>
          <w:rFonts w:hint="eastAsia" w:ascii="仿宋_GB2312" w:eastAsia="仿宋_GB2312" w:cs="Gungsuh" w:hAnsiTheme="minorEastAsia"/>
          <w:color w:val="auto"/>
          <w:sz w:val="32"/>
          <w:szCs w:val="32"/>
        </w:rPr>
        <w:t>（四）依法应当支出的其他合法费用。</w:t>
      </w:r>
    </w:p>
    <w:p>
      <w:pPr>
        <w:pStyle w:val="2"/>
        <w:ind w:firstLine="640" w:firstLineChars="200"/>
        <w:rPr>
          <w:rFonts w:hint="default" w:eastAsia="仿宋_GB2312"/>
          <w:color w:val="auto"/>
          <w:lang w:val="en-US" w:eastAsia="zh-CN"/>
        </w:rPr>
      </w:pPr>
      <w:r>
        <w:rPr>
          <w:rFonts w:hint="eastAsia" w:ascii="仿宋_GB2312" w:eastAsia="仿宋_GB2312" w:cs="Gungsuh" w:hAnsiTheme="minorEastAsia"/>
          <w:color w:val="auto"/>
          <w:sz w:val="32"/>
          <w:szCs w:val="32"/>
          <w:lang w:val="en-US" w:eastAsia="zh-CN"/>
        </w:rPr>
        <w:t xml:space="preserve"> </w:t>
      </w:r>
      <w:r>
        <w:rPr>
          <w:rFonts w:hint="eastAsia" w:ascii="仿宋_GB2312" w:hAnsi="仿宋_GB2312" w:eastAsia="仿宋_GB2312" w:cs="仿宋_GB2312"/>
          <w:color w:val="auto"/>
          <w:sz w:val="32"/>
          <w:szCs w:val="32"/>
        </w:rPr>
        <w:t>业主委员会</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按照业主大会的决定使用共有</w:t>
      </w:r>
      <w:r>
        <w:rPr>
          <w:rFonts w:hint="eastAsia" w:ascii="仿宋_GB2312" w:hAnsi="仿宋_GB2312" w:eastAsia="仿宋_GB2312" w:cs="仿宋_GB2312"/>
          <w:color w:val="auto"/>
          <w:sz w:val="32"/>
          <w:szCs w:val="32"/>
          <w:lang w:eastAsia="zh-CN"/>
        </w:rPr>
        <w:t>物业收益，且</w:t>
      </w:r>
      <w:r>
        <w:rPr>
          <w:rFonts w:hint="eastAsia" w:ascii="仿宋_GB2312" w:hAnsi="仿宋_GB2312" w:eastAsia="仿宋_GB2312" w:cs="仿宋_GB2312"/>
          <w:color w:val="auto"/>
          <w:sz w:val="32"/>
          <w:szCs w:val="32"/>
        </w:rPr>
        <w:t>使用前、后</w:t>
      </w:r>
      <w:r>
        <w:rPr>
          <w:rFonts w:hint="eastAsia" w:ascii="仿宋_GB2312" w:hAnsi="仿宋_GB2312" w:eastAsia="仿宋_GB2312" w:cs="仿宋_GB2312"/>
          <w:color w:val="auto"/>
          <w:sz w:val="32"/>
          <w:szCs w:val="32"/>
          <w:lang w:val="en-US" w:eastAsia="zh-CN"/>
        </w:rPr>
        <w:t>均</w:t>
      </w:r>
      <w:r>
        <w:rPr>
          <w:rFonts w:hint="eastAsia" w:ascii="仿宋_GB2312" w:hAnsi="仿宋_GB2312" w:eastAsia="仿宋_GB2312" w:cs="仿宋_GB2312"/>
          <w:color w:val="auto"/>
          <w:sz w:val="32"/>
          <w:szCs w:val="32"/>
        </w:rPr>
        <w:t>应在物业管理区域内公示。</w:t>
      </w:r>
    </w:p>
    <w:p>
      <w:pPr>
        <w:tabs>
          <w:tab w:val="left" w:pos="5812"/>
        </w:tabs>
        <w:spacing w:line="560" w:lineRule="exact"/>
        <w:ind w:firstLine="641"/>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第二十</w:t>
      </w:r>
      <w:r>
        <w:rPr>
          <w:rFonts w:hint="eastAsia" w:ascii="黑体" w:hAnsi="黑体" w:eastAsia="黑体" w:cs="仿宋_GB2312"/>
          <w:color w:val="auto"/>
          <w:sz w:val="32"/>
          <w:szCs w:val="32"/>
          <w:lang w:eastAsia="zh-CN"/>
        </w:rPr>
        <w:t>五</w:t>
      </w:r>
      <w:r>
        <w:rPr>
          <w:rFonts w:hint="eastAsia" w:ascii="黑体" w:hAnsi="黑体" w:eastAsia="黑体" w:cs="宋体"/>
          <w:color w:val="auto"/>
          <w:sz w:val="32"/>
          <w:szCs w:val="32"/>
        </w:rPr>
        <w:t>条</w:t>
      </w:r>
      <w:r>
        <w:rPr>
          <w:rFonts w:hint="eastAsia" w:ascii="仿宋_GB2312" w:hAnsi="仿宋_GB2312" w:eastAsia="仿宋_GB2312" w:cs="仿宋_GB2312"/>
          <w:color w:val="auto"/>
          <w:sz w:val="32"/>
          <w:szCs w:val="32"/>
        </w:rPr>
        <w:t xml:space="preserve">  业主应当依法交存</w:t>
      </w:r>
      <w:r>
        <w:rPr>
          <w:rFonts w:hint="eastAsia" w:ascii="仿宋_GB2312" w:eastAsia="仿宋_GB2312" w:cs="Gungsuh" w:hAnsiTheme="minorEastAsia"/>
          <w:color w:val="auto"/>
          <w:sz w:val="32"/>
          <w:szCs w:val="32"/>
        </w:rPr>
        <w:t>住宅专项维修资金</w:t>
      </w:r>
      <w:r>
        <w:rPr>
          <w:rFonts w:hint="eastAsia" w:ascii="仿宋_GB2312" w:hAnsi="仿宋_GB2312" w:eastAsia="仿宋_GB2312" w:cs="仿宋_GB2312"/>
          <w:color w:val="auto"/>
          <w:sz w:val="32"/>
          <w:szCs w:val="32"/>
        </w:rPr>
        <w:t>。业主</w:t>
      </w:r>
      <w:r>
        <w:rPr>
          <w:rFonts w:hint="eastAsia" w:ascii="仿宋_GB2312" w:eastAsia="仿宋_GB2312" w:cs="Gungsuh" w:hAnsiTheme="minorEastAsia"/>
          <w:color w:val="auto"/>
          <w:sz w:val="32"/>
          <w:szCs w:val="32"/>
        </w:rPr>
        <w:t>住宅</w:t>
      </w:r>
      <w:r>
        <w:rPr>
          <w:rFonts w:hint="eastAsia" w:ascii="仿宋_GB2312" w:hAnsi="仿宋_GB2312" w:eastAsia="仿宋_GB2312" w:cs="仿宋_GB2312"/>
          <w:color w:val="auto"/>
          <w:sz w:val="32"/>
          <w:szCs w:val="32"/>
        </w:rPr>
        <w:t xml:space="preserve">专项维修资金账户内余额不足的，应当依法及时续交。                           </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业主应按法律法规的规定和本规约的约定支付物业服务费、专项维修资金等费用。如经物业服务企业或业主委员会督促仍不支付的，业主委员会可在物业管理区域内公示相关业主欠缴情况。</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业主委员会可在本物业管理区域内公示不遵守本规约等物业管理制度的业主、物业使用人的姓名及违约事实。</w:t>
      </w:r>
    </w:p>
    <w:p>
      <w:pPr>
        <w:spacing w:beforeLines="5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第五章 附则</w:t>
      </w:r>
    </w:p>
    <w:p>
      <w:pPr>
        <w:adjustRightInd w:val="0"/>
        <w:snapToGrid w:val="0"/>
        <w:spacing w:line="560" w:lineRule="exact"/>
        <w:ind w:firstLine="640" w:firstLineChars="200"/>
        <w:rPr>
          <w:rFonts w:ascii="仿宋_GB2312" w:hAnsi="仿宋_GB2312" w:eastAsia="仿宋_GB2312" w:cs="仿宋_GB2312"/>
          <w:bCs/>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业主大会和业主委员会对违反本规约等物业管理制度的行为，有权依照法律、法规的规定和本规约的约定，要求行为人停止侵害、消除危险、排除妨害、赔偿损失。业主亦可对侵害自身合法权益的行为，提起相应行政、司法救济。</w:t>
      </w:r>
    </w:p>
    <w:p>
      <w:pPr>
        <w:spacing w:line="560" w:lineRule="exact"/>
        <w:ind w:firstLine="640" w:firstLineChars="200"/>
        <w:rPr>
          <w:rFonts w:ascii="仿宋_GB2312" w:hAnsi="仿宋_GB2312" w:eastAsia="仿宋_GB2312" w:cs="仿宋_GB2312"/>
          <w:bCs/>
          <w:color w:val="auto"/>
          <w:sz w:val="32"/>
          <w:szCs w:val="32"/>
        </w:rPr>
      </w:pPr>
      <w:r>
        <w:rPr>
          <w:rFonts w:hint="eastAsia" w:ascii="黑体" w:hAnsi="黑体" w:eastAsia="黑体"/>
          <w:bCs/>
          <w:color w:val="auto"/>
          <w:sz w:val="32"/>
          <w:szCs w:val="32"/>
        </w:rPr>
        <w:t>第</w:t>
      </w:r>
      <w:r>
        <w:rPr>
          <w:rFonts w:hint="eastAsia" w:ascii="黑体" w:hAnsi="黑体" w:eastAsia="黑体"/>
          <w:color w:val="auto"/>
          <w:sz w:val="32"/>
          <w:szCs w:val="32"/>
        </w:rPr>
        <w:t>二十</w:t>
      </w:r>
      <w:r>
        <w:rPr>
          <w:rFonts w:hint="eastAsia" w:ascii="黑体" w:hAnsi="黑体" w:eastAsia="黑体"/>
          <w:color w:val="auto"/>
          <w:sz w:val="32"/>
          <w:szCs w:val="32"/>
          <w:lang w:eastAsia="zh-CN"/>
        </w:rPr>
        <w:t>八</w:t>
      </w:r>
      <w:r>
        <w:rPr>
          <w:rFonts w:hint="eastAsia" w:ascii="黑体" w:hAnsi="黑体" w:eastAsia="黑体"/>
          <w:bCs/>
          <w:color w:val="auto"/>
          <w:sz w:val="32"/>
          <w:szCs w:val="32"/>
        </w:rPr>
        <w:t>条</w:t>
      </w:r>
      <w:r>
        <w:rPr>
          <w:rFonts w:hint="eastAsia" w:ascii="仿宋_GB2312" w:hAnsi="仿宋_GB2312" w:eastAsia="仿宋_GB2312" w:cs="仿宋_GB2312"/>
          <w:bCs/>
          <w:color w:val="auto"/>
          <w:sz w:val="32"/>
          <w:szCs w:val="32"/>
        </w:rPr>
        <w:t xml:space="preserve"> 为维护业主的共同权益，本物业管理区域内全体业主同意在物业管理活动中授予物业服务企业以下权利：</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（一）根据法律、法规的规定和本规约、物业服务合同的约定，制定必要的物业管理制度，并督促业主、物业使用人遵守、执行。</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w:t>
      </w:r>
      <w:r>
        <w:rPr>
          <w:rFonts w:hint="eastAsia" w:ascii="仿宋_GB2312" w:hAnsi="仿宋_GB2312" w:eastAsia="仿宋_GB2312" w:cs="仿宋_GB2312"/>
          <w:color w:val="auto"/>
          <w:sz w:val="32"/>
          <w:szCs w:val="32"/>
        </w:rPr>
        <w:t>以告知、劝阻、上报等</w:t>
      </w:r>
      <w:r>
        <w:rPr>
          <w:rFonts w:hint="eastAsia" w:ascii="仿宋_GB2312" w:hAnsi="仿宋_GB2312" w:eastAsia="仿宋_GB2312" w:cs="仿宋_GB2312"/>
          <w:bCs/>
          <w:color w:val="auto"/>
          <w:sz w:val="32"/>
          <w:szCs w:val="32"/>
        </w:rPr>
        <w:t>方式制止业主、物业使用人违反本规约等物业管理制度的行为；</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 xml:space="preserve"> 。</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bookmarkStart w:id="17" w:name="_Hlk26455518"/>
      <w:r>
        <w:rPr>
          <w:rFonts w:hint="eastAsia" w:ascii="仿宋_GB2312" w:hAnsi="仿宋_GB2312" w:eastAsia="仿宋_GB2312" w:cs="仿宋_GB2312"/>
          <w:color w:val="auto"/>
          <w:sz w:val="32"/>
          <w:szCs w:val="32"/>
        </w:rPr>
        <w:t xml:space="preserve"> </w:t>
      </w:r>
      <w:bookmarkEnd w:id="17"/>
      <w:r>
        <w:rPr>
          <w:rFonts w:hint="eastAsia" w:ascii="仿宋_GB2312" w:hAnsi="仿宋_GB2312" w:eastAsia="仿宋_GB2312" w:cs="仿宋_GB2312"/>
          <w:color w:val="auto"/>
          <w:sz w:val="32"/>
          <w:szCs w:val="32"/>
        </w:rPr>
        <w:t>业主应当向物业服务企业提供联系地址、通讯方式。发生变更的，应当及时向物业服务企业提供具体变更信息。如业主不提供或未及时提供变更信息，则物业管理活动中的相关资料投入该户业主信报箱、房屋内、张贴入户门或者按原预留联系地址、通讯方式送达的，仍视为有效送达。</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三</w:t>
      </w:r>
      <w:r>
        <w:rPr>
          <w:rFonts w:hint="eastAsia" w:ascii="黑体" w:hAnsi="黑体" w:eastAsia="黑体"/>
          <w:color w:val="auto"/>
          <w:sz w:val="32"/>
          <w:szCs w:val="32"/>
        </w:rPr>
        <w:t>十条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业主、物业使用人在物业使用中产生矛盾时，</w:t>
      </w:r>
      <w:r>
        <w:rPr>
          <w:rFonts w:hint="eastAsia" w:ascii="仿宋_GB2312" w:hAnsi="仿宋_GB2312" w:eastAsia="仿宋_GB2312" w:cs="仿宋_GB2312"/>
          <w:color w:val="auto"/>
          <w:sz w:val="32"/>
          <w:szCs w:val="32"/>
          <w:lang w:val="en-US" w:eastAsia="zh-CN"/>
        </w:rPr>
        <w:t>应当</w:t>
      </w:r>
      <w:r>
        <w:rPr>
          <w:rFonts w:hint="eastAsia" w:ascii="仿宋_GB2312" w:hAnsi="仿宋_GB2312" w:eastAsia="仿宋_GB2312" w:cs="仿宋_GB2312"/>
          <w:color w:val="auto"/>
          <w:sz w:val="32"/>
          <w:szCs w:val="32"/>
        </w:rPr>
        <w:t>本着互谅互让的原则处理矛盾纠纷，营造安全、舒适、文明、和谐、美好的工作和生活环境。</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黑体" w:hAnsi="黑体" w:eastAsia="黑体"/>
          <w:color w:val="auto"/>
          <w:sz w:val="32"/>
          <w:szCs w:val="32"/>
        </w:rPr>
        <w:t>第三十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本规约经第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次业主大会会议通过后生效。</w:t>
      </w:r>
    </w:p>
    <w:p>
      <w:pPr>
        <w:adjustRightInd w:val="0"/>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黑体" w:hAnsi="黑体" w:eastAsia="黑体"/>
          <w:color w:val="auto"/>
          <w:sz w:val="32"/>
          <w:szCs w:val="32"/>
        </w:rPr>
        <w:t>第三十</w:t>
      </w:r>
      <w:r>
        <w:rPr>
          <w:rFonts w:hint="eastAsia" w:ascii="黑体" w:hAnsi="黑体" w:eastAsia="黑体"/>
          <w:color w:val="auto"/>
          <w:sz w:val="32"/>
          <w:szCs w:val="32"/>
          <w:lang w:eastAsia="zh-CN"/>
        </w:rPr>
        <w:t>二</w:t>
      </w:r>
      <w:r>
        <w:rPr>
          <w:rFonts w:hint="eastAsia" w:ascii="黑体" w:hAnsi="黑体" w:eastAsia="黑体"/>
          <w:color w:val="auto"/>
          <w:sz w:val="32"/>
          <w:szCs w:val="32"/>
        </w:rPr>
        <w:t xml:space="preserve">条 </w:t>
      </w:r>
      <w:r>
        <w:rPr>
          <w:rFonts w:hint="eastAsia" w:ascii="仿宋_GB2312" w:hAnsi="仿宋_GB2312" w:eastAsia="仿宋_GB2312" w:cs="仿宋_GB2312"/>
          <w:color w:val="auto"/>
          <w:sz w:val="32"/>
          <w:szCs w:val="32"/>
        </w:rPr>
        <w:t>本规约通过后应在本物业管理区域内进行公示，并由业主委员会保管。本规约应报街道办事处（镇人民政府）、物业主管部门备案。</w:t>
      </w:r>
    </w:p>
    <w:p>
      <w:pPr>
        <w:ind w:firstLine="642" w:firstLineChars="200"/>
        <w:rPr>
          <w:rFonts w:ascii="仿宋_GB2312" w:hAnsi="仿宋_GB2312" w:eastAsia="仿宋_GB2312" w:cs="仿宋_GB2312"/>
          <w:color w:val="auto"/>
          <w:sz w:val="32"/>
          <w:szCs w:val="32"/>
        </w:rPr>
      </w:pPr>
      <w:r>
        <w:rPr>
          <w:rFonts w:hint="eastAsia" w:ascii="仿宋" w:hAnsi="仿宋" w:eastAsia="仿宋" w:cs="仿宋"/>
          <w:b/>
          <w:bCs/>
          <w:color w:val="auto"/>
          <w:sz w:val="32"/>
          <w:szCs w:val="32"/>
        </w:rPr>
        <w:t>附件：</w:t>
      </w:r>
      <w:r>
        <w:rPr>
          <w:rFonts w:hint="eastAsia" w:ascii="仿宋_GB2312" w:hAnsi="仿宋_GB2312" w:eastAsia="仿宋_GB2312" w:cs="仿宋_GB2312"/>
          <w:color w:val="auto"/>
          <w:sz w:val="32"/>
          <w:szCs w:val="32"/>
        </w:rPr>
        <w:t>1.规划平面图</w:t>
      </w:r>
    </w:p>
    <w:p>
      <w:pPr>
        <w:spacing w:line="560" w:lineRule="exact"/>
        <w:ind w:firstLine="1600" w:firstLineChars="5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2.物业构成明细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3.共有物业、共用设施设备明细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rPr>
          <w:rFonts w:ascii="仿宋" w:hAnsi="仿宋" w:eastAsia="仿宋" w:cs="仿宋"/>
          <w:b/>
          <w:bCs/>
          <w:color w:val="auto"/>
          <w:sz w:val="32"/>
          <w:szCs w:val="32"/>
        </w:rPr>
      </w:pPr>
      <w:r>
        <w:rPr>
          <w:rFonts w:hint="eastAsia" w:ascii="仿宋" w:hAnsi="仿宋" w:eastAsia="仿宋" w:cs="仿宋"/>
          <w:b/>
          <w:bCs/>
          <w:color w:val="auto"/>
          <w:sz w:val="32"/>
          <w:szCs w:val="32"/>
        </w:rPr>
        <w:t xml:space="preserve">                       </w:t>
      </w:r>
      <w:r>
        <w:rPr>
          <w:rFonts w:hint="eastAsia" w:ascii="仿宋" w:hAnsi="仿宋" w:eastAsia="仿宋" w:cs="仿宋"/>
          <w:b/>
          <w:bCs/>
          <w:color w:val="auto"/>
          <w:sz w:val="32"/>
          <w:szCs w:val="32"/>
          <w:u w:val="single"/>
        </w:rPr>
        <w:t xml:space="preserve">                   </w:t>
      </w:r>
      <w:r>
        <w:rPr>
          <w:rFonts w:hint="eastAsia" w:ascii="仿宋" w:hAnsi="仿宋" w:eastAsia="仿宋" w:cs="仿宋"/>
          <w:b/>
          <w:bCs/>
          <w:color w:val="auto"/>
          <w:sz w:val="32"/>
          <w:szCs w:val="32"/>
        </w:rPr>
        <w:t>业主大会（公章）</w:t>
      </w:r>
    </w:p>
    <w:p>
      <w:pPr>
        <w:spacing w:line="560" w:lineRule="exact"/>
        <w:rPr>
          <w:rFonts w:ascii="仿宋_GB2312" w:hAnsi="仿宋_GB2312" w:eastAsia="仿宋_GB2312" w:cs="仿宋_GB2312"/>
          <w:color w:val="auto"/>
          <w:sz w:val="32"/>
          <w:szCs w:val="32"/>
        </w:rPr>
      </w:pPr>
      <w:r>
        <w:rPr>
          <w:rFonts w:hint="eastAsia" w:ascii="仿宋" w:hAnsi="仿宋" w:eastAsia="仿宋" w:cs="仿宋"/>
          <w:b/>
          <w:bCs/>
          <w:color w:val="auto"/>
          <w:sz w:val="32"/>
          <w:szCs w:val="32"/>
        </w:rPr>
        <w:t xml:space="preserve">                                   年    月    日</w:t>
      </w: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del w:id="0" w:author="user" w:date="2021-10-08T11:04:59Z"/>
          <w:rFonts w:hint="eastAsia" w:ascii="黑体" w:hAnsi="黑体" w:eastAsia="黑体"/>
          <w:color w:val="auto"/>
          <w:sz w:val="32"/>
          <w:szCs w:val="32"/>
        </w:rPr>
      </w:pPr>
    </w:p>
    <w:p>
      <w:pPr>
        <w:rPr>
          <w:del w:id="1" w:author="user" w:date="2021-10-08T11:04:59Z"/>
          <w:rFonts w:hint="eastAsia" w:ascii="黑体" w:hAnsi="黑体" w:eastAsia="黑体"/>
          <w:color w:val="auto"/>
          <w:sz w:val="32"/>
          <w:szCs w:val="32"/>
        </w:rPr>
      </w:pPr>
    </w:p>
    <w:p>
      <w:pPr>
        <w:rPr>
          <w:del w:id="2" w:author="user" w:date="2021-10-08T11:04:59Z"/>
          <w:rFonts w:hint="eastAsia" w:ascii="黑体" w:hAnsi="黑体" w:eastAsia="黑体"/>
          <w:color w:val="auto"/>
          <w:sz w:val="32"/>
          <w:szCs w:val="32"/>
        </w:rPr>
      </w:pPr>
    </w:p>
    <w:p>
      <w:pPr>
        <w:rPr>
          <w:del w:id="3" w:author="user" w:date="2021-10-08T11:05:00Z"/>
          <w:rFonts w:hint="eastAsia" w:ascii="黑体" w:hAnsi="黑体" w:eastAsia="黑体"/>
          <w:color w:val="auto"/>
          <w:sz w:val="32"/>
          <w:szCs w:val="32"/>
        </w:rPr>
      </w:pPr>
    </w:p>
    <w:p>
      <w:pPr>
        <w:rPr>
          <w:del w:id="4" w:author="user" w:date="2021-10-08T11:05:00Z"/>
          <w:rFonts w:hint="eastAsia" w:ascii="黑体" w:hAnsi="黑体" w:eastAsia="黑体"/>
          <w:color w:val="auto"/>
          <w:sz w:val="32"/>
          <w:szCs w:val="32"/>
        </w:rPr>
      </w:pPr>
    </w:p>
    <w:p>
      <w:pPr>
        <w:rPr>
          <w:del w:id="5" w:author="user" w:date="2021-10-08T11:05:02Z"/>
          <w:rFonts w:hint="eastAsia" w:ascii="黑体" w:hAnsi="黑体" w:eastAsia="黑体"/>
          <w:color w:val="auto"/>
          <w:sz w:val="32"/>
          <w:szCs w:val="32"/>
        </w:rPr>
      </w:pPr>
    </w:p>
    <w:p>
      <w:pPr>
        <w:rPr>
          <w:rFonts w:ascii="黑体" w:hAnsi="黑体" w:eastAsia="黑体"/>
          <w:color w:val="auto"/>
          <w:sz w:val="32"/>
          <w:szCs w:val="32"/>
        </w:rPr>
      </w:pPr>
      <w:bookmarkStart w:id="19" w:name="_GoBack"/>
      <w:bookmarkEnd w:id="19"/>
      <w:r>
        <w:rPr>
          <w:rFonts w:hint="eastAsia" w:ascii="黑体" w:hAnsi="黑体" w:eastAsia="黑体"/>
          <w:color w:val="auto"/>
          <w:sz w:val="32"/>
          <w:szCs w:val="32"/>
        </w:rPr>
        <w:t>附件1</w:t>
      </w:r>
    </w:p>
    <w:p>
      <w:pPr>
        <w:jc w:val="center"/>
        <w:rPr>
          <w:rFonts w:ascii="黑体" w:hAnsi="黑体" w:eastAsia="黑体"/>
          <w:color w:val="auto"/>
          <w:sz w:val="32"/>
          <w:szCs w:val="32"/>
        </w:rPr>
      </w:pPr>
      <w:r>
        <w:rPr>
          <w:rFonts w:hint="eastAsia" w:ascii="黑体" w:hAnsi="黑体" w:eastAsia="黑体"/>
          <w:color w:val="auto"/>
          <w:sz w:val="32"/>
          <w:szCs w:val="32"/>
        </w:rPr>
        <w:t>规划平面图</w:t>
      </w:r>
    </w:p>
    <w:p>
      <w:pPr>
        <w:jc w:val="center"/>
        <w:rPr>
          <w:rFonts w:ascii="楷体" w:hAnsi="楷体" w:eastAsia="楷体" w:cs="楷体"/>
          <w:color w:val="auto"/>
          <w:sz w:val="32"/>
          <w:szCs w:val="32"/>
        </w:rPr>
      </w:pPr>
      <w:r>
        <w:rPr>
          <w:rFonts w:hint="eastAsia" w:ascii="楷体" w:hAnsi="楷体" w:eastAsia="楷体" w:cs="楷体"/>
          <w:color w:val="auto"/>
          <w:sz w:val="32"/>
          <w:szCs w:val="32"/>
        </w:rPr>
        <w:t>（粘贴在以下空白处）</w:t>
      </w:r>
    </w:p>
    <w:p>
      <w:pPr>
        <w:snapToGrid w:val="0"/>
        <w:rPr>
          <w:rFonts w:ascii="仿宋" w:hAnsi="仿宋" w:eastAsia="仿宋" w:cs="仿宋"/>
          <w:color w:val="auto"/>
          <w:sz w:val="32"/>
          <w:szCs w:val="32"/>
        </w:rPr>
      </w:pPr>
    </w:p>
    <w:p>
      <w:pPr>
        <w:snapToGrid w:val="0"/>
        <w:rPr>
          <w:rFonts w:ascii="仿宋" w:hAnsi="仿宋" w:eastAsia="仿宋" w:cs="仿宋"/>
          <w:color w:val="auto"/>
          <w:sz w:val="32"/>
          <w:szCs w:val="32"/>
        </w:rPr>
      </w:pPr>
    </w:p>
    <w:p>
      <w:pPr>
        <w:rPr>
          <w:rFonts w:ascii="仿宋" w:hAnsi="仿宋" w:eastAsia="仿宋" w:cs="仿宋"/>
          <w:color w:val="auto"/>
          <w:sz w:val="32"/>
          <w:szCs w:val="32"/>
        </w:rPr>
      </w:pPr>
    </w:p>
    <w:p>
      <w:pPr>
        <w:snapToGrid w:val="0"/>
        <w:rPr>
          <w:rFonts w:ascii="仿宋" w:hAnsi="仿宋" w:eastAsia="仿宋" w:cs="仿宋"/>
          <w:color w:val="auto"/>
          <w:sz w:val="32"/>
          <w:szCs w:val="32"/>
        </w:rPr>
      </w:pPr>
    </w:p>
    <w:p>
      <w:pPr>
        <w:snapToGrid w:val="0"/>
        <w:rPr>
          <w:rFonts w:ascii="仿宋" w:hAnsi="仿宋" w:eastAsia="仿宋" w:cs="仿宋"/>
          <w:color w:val="auto"/>
          <w:sz w:val="32"/>
          <w:szCs w:val="32"/>
        </w:rPr>
      </w:pPr>
    </w:p>
    <w:p>
      <w:pPr>
        <w:snapToGrid w:val="0"/>
        <w:rPr>
          <w:rFonts w:ascii="仿宋" w:hAnsi="仿宋" w:eastAsia="仿宋" w:cs="仿宋"/>
          <w:color w:val="auto"/>
          <w:sz w:val="32"/>
          <w:szCs w:val="32"/>
        </w:rPr>
      </w:pPr>
    </w:p>
    <w:p>
      <w:pPr>
        <w:snapToGrid w:val="0"/>
        <w:rPr>
          <w:rFonts w:ascii="仿宋" w:hAnsi="仿宋" w:eastAsia="仿宋" w:cs="仿宋"/>
          <w:color w:val="auto"/>
          <w:sz w:val="32"/>
          <w:szCs w:val="32"/>
        </w:rPr>
      </w:pPr>
    </w:p>
    <w:p>
      <w:pPr>
        <w:snapToGrid w:val="0"/>
        <w:rPr>
          <w:rFonts w:ascii="仿宋" w:hAnsi="仿宋" w:eastAsia="仿宋" w:cs="仿宋"/>
          <w:color w:val="auto"/>
          <w:sz w:val="32"/>
          <w:szCs w:val="32"/>
        </w:rPr>
      </w:pPr>
    </w:p>
    <w:p>
      <w:pPr>
        <w:snapToGrid w:val="0"/>
        <w:rPr>
          <w:rFonts w:ascii="仿宋" w:hAnsi="仿宋" w:eastAsia="仿宋" w:cs="仿宋"/>
          <w:color w:val="auto"/>
          <w:sz w:val="32"/>
          <w:szCs w:val="32"/>
        </w:rPr>
      </w:pPr>
    </w:p>
    <w:p>
      <w:pPr>
        <w:snapToGrid w:val="0"/>
        <w:rPr>
          <w:rFonts w:ascii="仿宋" w:hAnsi="仿宋" w:eastAsia="仿宋" w:cs="仿宋"/>
          <w:color w:val="auto"/>
          <w:sz w:val="32"/>
          <w:szCs w:val="32"/>
        </w:rPr>
      </w:pPr>
    </w:p>
    <w:p>
      <w:pPr>
        <w:snapToGrid w:val="0"/>
        <w:rPr>
          <w:rFonts w:ascii="仿宋" w:hAnsi="仿宋" w:eastAsia="仿宋" w:cs="仿宋"/>
          <w:color w:val="auto"/>
          <w:sz w:val="32"/>
          <w:szCs w:val="32"/>
        </w:rPr>
      </w:pPr>
    </w:p>
    <w:p>
      <w:pPr>
        <w:snapToGrid w:val="0"/>
        <w:rPr>
          <w:rFonts w:ascii="仿宋" w:hAnsi="仿宋" w:eastAsia="仿宋" w:cs="仿宋"/>
          <w:color w:val="auto"/>
          <w:sz w:val="32"/>
          <w:szCs w:val="32"/>
        </w:rPr>
      </w:pPr>
    </w:p>
    <w:p>
      <w:pPr>
        <w:snapToGrid w:val="0"/>
        <w:rPr>
          <w:rFonts w:ascii="仿宋" w:hAnsi="仿宋" w:eastAsia="仿宋" w:cs="仿宋"/>
          <w:color w:val="auto"/>
          <w:sz w:val="32"/>
          <w:szCs w:val="32"/>
        </w:rPr>
      </w:pPr>
    </w:p>
    <w:p>
      <w:pPr>
        <w:snapToGrid w:val="0"/>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br w:type="page"/>
      </w:r>
    </w:p>
    <w:p>
      <w:pPr>
        <w:rPr>
          <w:rFonts w:ascii="黑体" w:hAnsi="黑体" w:eastAsia="黑体"/>
          <w:color w:val="auto"/>
          <w:sz w:val="32"/>
          <w:szCs w:val="32"/>
        </w:rPr>
      </w:pPr>
      <w:r>
        <w:rPr>
          <w:rFonts w:hint="eastAsia" w:ascii="黑体" w:hAnsi="黑体" w:eastAsia="黑体"/>
          <w:color w:val="auto"/>
          <w:sz w:val="32"/>
          <w:szCs w:val="32"/>
        </w:rPr>
        <w:t>附件2</w:t>
      </w:r>
    </w:p>
    <w:p>
      <w:pPr>
        <w:spacing w:afterLines="50"/>
        <w:jc w:val="center"/>
        <w:rPr>
          <w:rFonts w:ascii="仿宋" w:hAnsi="仿宋" w:eastAsia="仿宋" w:cs="仿宋"/>
          <w:b/>
          <w:bCs/>
          <w:color w:val="auto"/>
          <w:sz w:val="32"/>
          <w:szCs w:val="32"/>
        </w:rPr>
      </w:pPr>
      <w:r>
        <w:rPr>
          <w:rFonts w:hint="eastAsia" w:ascii="黑体" w:hAnsi="黑体" w:eastAsia="黑体"/>
          <w:color w:val="auto"/>
          <w:sz w:val="32"/>
          <w:szCs w:val="32"/>
        </w:rPr>
        <w:t>物业构成明细</w:t>
      </w:r>
    </w:p>
    <w:tbl>
      <w:tblPr>
        <w:tblStyle w:val="10"/>
        <w:tblW w:w="8204"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36"/>
        <w:gridCol w:w="2161"/>
        <w:gridCol w:w="2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00"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  型</w:t>
            </w:r>
          </w:p>
        </w:tc>
        <w:tc>
          <w:tcPr>
            <w:tcW w:w="2036"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幢  数</w:t>
            </w:r>
          </w:p>
        </w:tc>
        <w:tc>
          <w:tcPr>
            <w:tcW w:w="216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套（单元）数</w:t>
            </w:r>
          </w:p>
        </w:tc>
        <w:tc>
          <w:tcPr>
            <w:tcW w:w="2066"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建筑面积</w:t>
            </w:r>
          </w:p>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高层住宅</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多层住宅</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别  墅</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商业用房</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工业用房</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办公楼</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车  库</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地上车位</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  防</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  所</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  校</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幼儿园</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用房</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u w:val="single"/>
              </w:rPr>
            </w:pP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  计</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7" w:hRule="exact"/>
        </w:trPr>
        <w:tc>
          <w:tcPr>
            <w:tcW w:w="1941"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  注</w:t>
            </w:r>
          </w:p>
        </w:tc>
        <w:tc>
          <w:tcPr>
            <w:tcW w:w="2036" w:type="dxa"/>
            <w:vAlign w:val="center"/>
          </w:tcPr>
          <w:p>
            <w:pPr>
              <w:jc w:val="center"/>
              <w:rPr>
                <w:rFonts w:ascii="仿宋_GB2312" w:hAnsi="仿宋_GB2312" w:eastAsia="仿宋_GB2312" w:cs="仿宋_GB2312"/>
                <w:color w:val="auto"/>
                <w:sz w:val="28"/>
                <w:szCs w:val="28"/>
              </w:rPr>
            </w:pPr>
          </w:p>
        </w:tc>
        <w:tc>
          <w:tcPr>
            <w:tcW w:w="2161" w:type="dxa"/>
            <w:vAlign w:val="center"/>
          </w:tcPr>
          <w:p>
            <w:pPr>
              <w:jc w:val="center"/>
              <w:rPr>
                <w:rFonts w:ascii="仿宋_GB2312" w:hAnsi="仿宋_GB2312" w:eastAsia="仿宋_GB2312" w:cs="仿宋_GB2312"/>
                <w:color w:val="auto"/>
                <w:sz w:val="28"/>
                <w:szCs w:val="28"/>
              </w:rPr>
            </w:pPr>
          </w:p>
        </w:tc>
        <w:tc>
          <w:tcPr>
            <w:tcW w:w="2066" w:type="dxa"/>
            <w:vAlign w:val="center"/>
          </w:tcPr>
          <w:p>
            <w:pPr>
              <w:jc w:val="center"/>
              <w:rPr>
                <w:rFonts w:ascii="仿宋_GB2312" w:hAnsi="仿宋_GB2312" w:eastAsia="仿宋_GB2312" w:cs="仿宋_GB2312"/>
                <w:color w:val="auto"/>
                <w:sz w:val="28"/>
                <w:szCs w:val="28"/>
              </w:rPr>
            </w:pPr>
          </w:p>
        </w:tc>
      </w:tr>
    </w:tbl>
    <w:p>
      <w:pPr>
        <w:rPr>
          <w:rFonts w:ascii="仿宋" w:hAnsi="仿宋" w:eastAsia="仿宋" w:cs="仿宋"/>
          <w:color w:val="auto"/>
          <w:sz w:val="32"/>
          <w:szCs w:val="32"/>
        </w:rPr>
      </w:pPr>
      <w:r>
        <w:rPr>
          <w:rFonts w:hint="eastAsia" w:ascii="仿宋" w:hAnsi="仿宋" w:eastAsia="仿宋" w:cs="仿宋"/>
          <w:color w:val="auto"/>
          <w:sz w:val="32"/>
          <w:szCs w:val="32"/>
        </w:rPr>
        <w:br w:type="page"/>
      </w:r>
    </w:p>
    <w:p>
      <w:pPr>
        <w:rPr>
          <w:rFonts w:ascii="黑体" w:hAnsi="黑体" w:eastAsia="黑体"/>
          <w:color w:val="auto"/>
          <w:sz w:val="32"/>
          <w:szCs w:val="32"/>
        </w:rPr>
      </w:pPr>
      <w:r>
        <w:rPr>
          <w:rFonts w:hint="eastAsia" w:ascii="黑体" w:hAnsi="黑体" w:eastAsia="黑体"/>
          <w:color w:val="auto"/>
          <w:sz w:val="32"/>
          <w:szCs w:val="32"/>
        </w:rPr>
        <w:t>附件3</w:t>
      </w:r>
    </w:p>
    <w:p>
      <w:pPr>
        <w:spacing w:afterLines="50"/>
        <w:jc w:val="center"/>
        <w:rPr>
          <w:rFonts w:ascii="黑体" w:hAnsi="黑体" w:eastAsia="黑体"/>
          <w:bCs/>
          <w:color w:val="auto"/>
          <w:sz w:val="32"/>
          <w:szCs w:val="32"/>
        </w:rPr>
      </w:pPr>
      <w:r>
        <w:rPr>
          <w:rFonts w:hint="eastAsia" w:ascii="黑体" w:hAnsi="黑体" w:eastAsia="黑体"/>
          <w:bCs/>
          <w:color w:val="auto"/>
          <w:sz w:val="32"/>
          <w:szCs w:val="32"/>
        </w:rPr>
        <w:t>共有物业、共用设施设备明细</w:t>
      </w:r>
    </w:p>
    <w:tbl>
      <w:tblPr>
        <w:tblStyle w:val="10"/>
        <w:tblW w:w="9429" w:type="dxa"/>
        <w:jc w:val="center"/>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552"/>
        <w:gridCol w:w="1016"/>
        <w:gridCol w:w="7"/>
        <w:gridCol w:w="1061"/>
        <w:gridCol w:w="1461"/>
        <w:gridCol w:w="576"/>
        <w:gridCol w:w="898"/>
        <w:gridCol w:w="938"/>
        <w:gridCol w:w="376"/>
        <w:gridCol w:w="82"/>
        <w:gridCol w:w="1462"/>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bookmarkStart w:id="18" w:name="_Hlk23424088"/>
            <w:r>
              <w:rPr>
                <w:rFonts w:hint="eastAsia" w:ascii="仿宋" w:hAnsi="仿宋" w:eastAsia="仿宋" w:cs="仿宋"/>
                <w:color w:val="auto"/>
                <w:szCs w:val="21"/>
              </w:rPr>
              <w:t xml:space="preserve">物业管理区域内房屋建筑本体之外的共用设施设备情况  </w:t>
            </w: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本物业管理区域车辆出入口</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人行出入口</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道路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车行道</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绿化面积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园林建筑小品</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污水管长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污水检查井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雨水管长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雨水检查井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雨水进水井</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化粪池</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路灯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地灯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草坪灯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其他照明设施</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垃圾箱</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垃圾房建筑面积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体育设施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儿童娱乐设施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休闲设施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仿宋" w:hAnsi="仿宋" w:eastAsia="仿宋" w:cs="仿宋"/>
                <w:color w:val="auto"/>
                <w:szCs w:val="21"/>
              </w:rPr>
            </w:pPr>
            <w:r>
              <w:rPr>
                <w:rFonts w:hint="eastAsia" w:ascii="仿宋" w:hAnsi="仿宋" w:eastAsia="仿宋" w:cs="仿宋"/>
                <w:color w:val="auto"/>
                <w:szCs w:val="21"/>
              </w:rPr>
              <w:t>房屋建筑本体共有部分及本体共用设施设备</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电梯</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功率</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配电房变压器</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容量</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r>
              <w:rPr>
                <w:rFonts w:hint="eastAsia" w:ascii="仿宋" w:hAnsi="仿宋" w:eastAsia="仿宋" w:cs="仿宋"/>
                <w:color w:val="auto"/>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发电机组</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功率</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品牌型号</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生活蓄水池</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消防水池</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消防水箱</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生活水泵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消防水泵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排污水泵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消防系统情况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智能化系统情况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其他设施设备情况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669"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业主委员会活动用房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auto"/>
                <w:szCs w:val="21"/>
                <w:u w:val="single"/>
              </w:rPr>
            </w:pPr>
            <w:r>
              <w:rPr>
                <w:rFonts w:hint="eastAsia" w:ascii="仿宋" w:hAnsi="仿宋" w:eastAsia="仿宋" w:cs="仿宋"/>
                <w:color w:val="auto"/>
                <w:szCs w:val="21"/>
              </w:rPr>
              <w:t>坐落位置</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物业服务办公用房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auto"/>
                <w:szCs w:val="21"/>
              </w:rPr>
            </w:pPr>
            <w:r>
              <w:rPr>
                <w:rFonts w:hint="eastAsia" w:ascii="仿宋" w:hAnsi="仿宋" w:eastAsia="仿宋" w:cs="仿宋"/>
                <w:color w:val="auto"/>
                <w:szCs w:val="21"/>
              </w:rPr>
              <w:t>坐落位置</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物业管理设施设备用房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auto"/>
                <w:szCs w:val="21"/>
                <w:u w:val="single"/>
              </w:rPr>
            </w:pPr>
            <w:r>
              <w:rPr>
                <w:rFonts w:hint="eastAsia" w:ascii="仿宋" w:hAnsi="仿宋" w:eastAsia="仿宋" w:cs="仿宋"/>
                <w:color w:val="auto"/>
                <w:szCs w:val="21"/>
              </w:rPr>
              <w:t>坐落位置</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w:t>
            </w:r>
          </w:p>
        </w:tc>
      </w:tr>
      <w:bookmarkEnd w:id="18"/>
    </w:tbl>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pStyle w:val="2"/>
        <w:rPr>
          <w:color w:val="auto"/>
          <w:lang w:val="en-US" w:bidi="ar-SA"/>
        </w:rPr>
      </w:pPr>
    </w:p>
    <w:p>
      <w:pPr>
        <w:rPr>
          <w:rFonts w:ascii="仿宋" w:hAnsi="仿宋" w:eastAsia="仿宋"/>
          <w:b/>
          <w:bCs/>
          <w:color w:val="auto"/>
          <w:sz w:val="24"/>
        </w:rPr>
      </w:pPr>
    </w:p>
    <w:sectPr>
      <w:footerReference r:id="rId5" w:type="default"/>
      <w:pgSz w:w="11906" w:h="16838"/>
      <w:pgMar w:top="993" w:right="1416" w:bottom="1135"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pPr>
        <w:spacing w:line="240" w:lineRule="auto"/>
      </w:pPr>
      <w:r>
        <w:separator/>
      </w:r>
    </w:p>
  </w:endnote>
  <w:endnote w:type="continuationSeparator" w:id="3">
    <w:p>
      <w:pPr>
        <w:spacing w:line="240" w:lineRule="auto"/>
      </w:pPr>
      <w:r>
        <w:continuationSeparator/>
      </w:r>
    </w:p>
  </w:endnote>
  <w:endnote w:id="0">
    <w:p>
      <w:pPr>
        <w:pStyle w:val="5"/>
        <w:spacing w:beforeLines="50" w:afterLines="50"/>
        <w:rPr>
          <w:rFonts w:ascii="楷体" w:hAnsi="楷体" w:eastAsia="楷体" w:cs="楷体"/>
          <w:b/>
          <w:bCs/>
          <w:sz w:val="28"/>
          <w:szCs w:val="28"/>
        </w:rPr>
      </w:pPr>
      <w:r>
        <w:rPr>
          <w:rStyle w:val="12"/>
          <w:rFonts w:hint="eastAsia" w:ascii="楷体" w:hAnsi="楷体" w:eastAsia="楷体" w:cs="楷体"/>
          <w:b/>
          <w:bCs/>
          <w:color w:val="0000FA"/>
          <w:sz w:val="28"/>
          <w:szCs w:val="28"/>
        </w:rPr>
        <w:endnoteRef/>
      </w:r>
      <w:r>
        <w:rPr>
          <w:rFonts w:hint="eastAsia" w:ascii="楷体" w:hAnsi="楷体" w:eastAsia="楷体" w:cs="楷体"/>
          <w:b/>
          <w:bCs/>
          <w:color w:val="0000FA"/>
          <w:sz w:val="28"/>
          <w:szCs w:val="28"/>
        </w:rPr>
        <w:t xml:space="preserve"> 注：本示范文本中标注为“□”的为多选项；标注“○”的为单选项。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Gungsuh">
    <w:altName w:val="宋体"/>
    <w:panose1 w:val="02030600000101010101"/>
    <w:charset w:val="81"/>
    <w:family w:val="roman"/>
    <w:pitch w:val="default"/>
    <w:sig w:usb0="00000000" w:usb1="00000000" w:usb2="00000030" w:usb3="00000000" w:csb0="4008009F" w:csb1="DFD7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12</w:t>
    </w:r>
    <w:r>
      <w:rPr>
        <w:lang w:val="zh-CN"/>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8B054"/>
    <w:multiLevelType w:val="singleLevel"/>
    <w:tmpl w:val="CB28B054"/>
    <w:lvl w:ilvl="0" w:tentative="0">
      <w:start w:val="1"/>
      <w:numFmt w:val="chineseCounting"/>
      <w:suff w:val="space"/>
      <w:lvlText w:val="第%1章"/>
      <w:lvlJc w:val="left"/>
      <w:rPr>
        <w:rFonts w:hint="eastAsia"/>
      </w:rPr>
    </w:lvl>
  </w:abstractNum>
  <w:abstractNum w:abstractNumId="1">
    <w:nsid w:val="CEA0F65F"/>
    <w:multiLevelType w:val="singleLevel"/>
    <w:tmpl w:val="CEA0F65F"/>
    <w:lvl w:ilvl="0" w:tentative="0">
      <w:start w:val="1"/>
      <w:numFmt w:val="chineseCounting"/>
      <w:suff w:val="nothing"/>
      <w:lvlText w:val="（%1）"/>
      <w:lvlJc w:val="left"/>
      <w:rPr>
        <w:rFonts w:hint="eastAsia"/>
      </w:rPr>
    </w:lvl>
  </w:abstractNum>
  <w:abstractNum w:abstractNumId="2">
    <w:nsid w:val="5F35FC21"/>
    <w:multiLevelType w:val="singleLevel"/>
    <w:tmpl w:val="5F35FC21"/>
    <w:lvl w:ilvl="0" w:tentative="0">
      <w:start w:val="7"/>
      <w:numFmt w:val="chineseCounting"/>
      <w:suff w:val="nothing"/>
      <w:lvlText w:val="（%1）"/>
      <w:lvlJc w:val="left"/>
      <w:rPr>
        <w:rFonts w:hint="eastAsi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2"/>
    <w:endnote w:id="3"/>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07"/>
    <w:rsid w:val="0001059F"/>
    <w:rsid w:val="00014834"/>
    <w:rsid w:val="00016C3F"/>
    <w:rsid w:val="000214F6"/>
    <w:rsid w:val="00021F92"/>
    <w:rsid w:val="00030E56"/>
    <w:rsid w:val="00040A66"/>
    <w:rsid w:val="00041746"/>
    <w:rsid w:val="00043079"/>
    <w:rsid w:val="00053B6C"/>
    <w:rsid w:val="00062B4E"/>
    <w:rsid w:val="00062BFE"/>
    <w:rsid w:val="000631BC"/>
    <w:rsid w:val="0006726A"/>
    <w:rsid w:val="000706A0"/>
    <w:rsid w:val="00075483"/>
    <w:rsid w:val="0007570E"/>
    <w:rsid w:val="000852ED"/>
    <w:rsid w:val="000869D0"/>
    <w:rsid w:val="000873CE"/>
    <w:rsid w:val="000A12B6"/>
    <w:rsid w:val="000A692A"/>
    <w:rsid w:val="000B3735"/>
    <w:rsid w:val="000C0F64"/>
    <w:rsid w:val="000D20A9"/>
    <w:rsid w:val="000E347F"/>
    <w:rsid w:val="000E3F2F"/>
    <w:rsid w:val="000F1B48"/>
    <w:rsid w:val="000F511B"/>
    <w:rsid w:val="000F6880"/>
    <w:rsid w:val="000F7141"/>
    <w:rsid w:val="00102CAB"/>
    <w:rsid w:val="00104057"/>
    <w:rsid w:val="0011476E"/>
    <w:rsid w:val="00122D43"/>
    <w:rsid w:val="0012582B"/>
    <w:rsid w:val="00127980"/>
    <w:rsid w:val="00133592"/>
    <w:rsid w:val="00146401"/>
    <w:rsid w:val="00152810"/>
    <w:rsid w:val="00166801"/>
    <w:rsid w:val="00171507"/>
    <w:rsid w:val="00172A11"/>
    <w:rsid w:val="00181501"/>
    <w:rsid w:val="00182837"/>
    <w:rsid w:val="00192289"/>
    <w:rsid w:val="001A5AA5"/>
    <w:rsid w:val="001B45FF"/>
    <w:rsid w:val="001B7A17"/>
    <w:rsid w:val="001C1A11"/>
    <w:rsid w:val="001D338A"/>
    <w:rsid w:val="001D643B"/>
    <w:rsid w:val="001D729A"/>
    <w:rsid w:val="001E112A"/>
    <w:rsid w:val="001E1EF1"/>
    <w:rsid w:val="001F03AA"/>
    <w:rsid w:val="001F3C6D"/>
    <w:rsid w:val="00204C6E"/>
    <w:rsid w:val="00206213"/>
    <w:rsid w:val="00207515"/>
    <w:rsid w:val="00216A33"/>
    <w:rsid w:val="00216A78"/>
    <w:rsid w:val="00221799"/>
    <w:rsid w:val="002217F0"/>
    <w:rsid w:val="00225242"/>
    <w:rsid w:val="0023236F"/>
    <w:rsid w:val="00242F80"/>
    <w:rsid w:val="002536A3"/>
    <w:rsid w:val="00253D44"/>
    <w:rsid w:val="00260A68"/>
    <w:rsid w:val="00261DDD"/>
    <w:rsid w:val="00272C7F"/>
    <w:rsid w:val="00280549"/>
    <w:rsid w:val="0028705D"/>
    <w:rsid w:val="00294EE1"/>
    <w:rsid w:val="00295230"/>
    <w:rsid w:val="00297E9C"/>
    <w:rsid w:val="002A6788"/>
    <w:rsid w:val="002B5D1A"/>
    <w:rsid w:val="002C3DD6"/>
    <w:rsid w:val="002C7181"/>
    <w:rsid w:val="002E203E"/>
    <w:rsid w:val="002E7FFC"/>
    <w:rsid w:val="002F068B"/>
    <w:rsid w:val="002F1D0C"/>
    <w:rsid w:val="002F5072"/>
    <w:rsid w:val="00300107"/>
    <w:rsid w:val="00301DDB"/>
    <w:rsid w:val="00314124"/>
    <w:rsid w:val="00327A09"/>
    <w:rsid w:val="003311C1"/>
    <w:rsid w:val="00334198"/>
    <w:rsid w:val="00347F2F"/>
    <w:rsid w:val="003600F1"/>
    <w:rsid w:val="003612FE"/>
    <w:rsid w:val="003613D3"/>
    <w:rsid w:val="00362F5C"/>
    <w:rsid w:val="00365050"/>
    <w:rsid w:val="003662D2"/>
    <w:rsid w:val="00373672"/>
    <w:rsid w:val="00373C4A"/>
    <w:rsid w:val="00375FBF"/>
    <w:rsid w:val="00382630"/>
    <w:rsid w:val="00382CA5"/>
    <w:rsid w:val="00383BC6"/>
    <w:rsid w:val="00387294"/>
    <w:rsid w:val="00390D5B"/>
    <w:rsid w:val="003921A1"/>
    <w:rsid w:val="003945F5"/>
    <w:rsid w:val="003A2854"/>
    <w:rsid w:val="003A499E"/>
    <w:rsid w:val="003B492A"/>
    <w:rsid w:val="003B5E6E"/>
    <w:rsid w:val="003C382D"/>
    <w:rsid w:val="003D207A"/>
    <w:rsid w:val="003D766E"/>
    <w:rsid w:val="003F6C96"/>
    <w:rsid w:val="004144A5"/>
    <w:rsid w:val="004158A7"/>
    <w:rsid w:val="0042101B"/>
    <w:rsid w:val="00432BCE"/>
    <w:rsid w:val="00436F9C"/>
    <w:rsid w:val="00465EDE"/>
    <w:rsid w:val="004747C9"/>
    <w:rsid w:val="004A60F8"/>
    <w:rsid w:val="004B45B4"/>
    <w:rsid w:val="004F33F3"/>
    <w:rsid w:val="00516E81"/>
    <w:rsid w:val="005219FD"/>
    <w:rsid w:val="0052494D"/>
    <w:rsid w:val="00532509"/>
    <w:rsid w:val="00545FF5"/>
    <w:rsid w:val="00546CA1"/>
    <w:rsid w:val="005573FA"/>
    <w:rsid w:val="005665EE"/>
    <w:rsid w:val="00567FAA"/>
    <w:rsid w:val="00587619"/>
    <w:rsid w:val="00587C5A"/>
    <w:rsid w:val="00591896"/>
    <w:rsid w:val="00594C0C"/>
    <w:rsid w:val="005A22A0"/>
    <w:rsid w:val="005C378A"/>
    <w:rsid w:val="005C6608"/>
    <w:rsid w:val="005D2BFD"/>
    <w:rsid w:val="005E3C9A"/>
    <w:rsid w:val="006011A3"/>
    <w:rsid w:val="00603182"/>
    <w:rsid w:val="006041B2"/>
    <w:rsid w:val="00611071"/>
    <w:rsid w:val="00612487"/>
    <w:rsid w:val="006163C2"/>
    <w:rsid w:val="00620299"/>
    <w:rsid w:val="006226C9"/>
    <w:rsid w:val="00626086"/>
    <w:rsid w:val="00626F7E"/>
    <w:rsid w:val="00632B46"/>
    <w:rsid w:val="006336C6"/>
    <w:rsid w:val="006342B1"/>
    <w:rsid w:val="0063495D"/>
    <w:rsid w:val="006367AF"/>
    <w:rsid w:val="0063775A"/>
    <w:rsid w:val="00641946"/>
    <w:rsid w:val="00647F63"/>
    <w:rsid w:val="00651C2F"/>
    <w:rsid w:val="00681E3D"/>
    <w:rsid w:val="00692B74"/>
    <w:rsid w:val="00697BF8"/>
    <w:rsid w:val="006A1FE8"/>
    <w:rsid w:val="006A459D"/>
    <w:rsid w:val="006B2B2B"/>
    <w:rsid w:val="006B492D"/>
    <w:rsid w:val="006B633D"/>
    <w:rsid w:val="006C611B"/>
    <w:rsid w:val="006D398A"/>
    <w:rsid w:val="006E67C3"/>
    <w:rsid w:val="006F141A"/>
    <w:rsid w:val="006F28FD"/>
    <w:rsid w:val="006F5F80"/>
    <w:rsid w:val="00701BCF"/>
    <w:rsid w:val="00702DF3"/>
    <w:rsid w:val="00712695"/>
    <w:rsid w:val="00726A13"/>
    <w:rsid w:val="00730535"/>
    <w:rsid w:val="00733695"/>
    <w:rsid w:val="00733C71"/>
    <w:rsid w:val="00746DDE"/>
    <w:rsid w:val="00746FFC"/>
    <w:rsid w:val="007509EF"/>
    <w:rsid w:val="00754532"/>
    <w:rsid w:val="00755C4D"/>
    <w:rsid w:val="00761173"/>
    <w:rsid w:val="007640E9"/>
    <w:rsid w:val="00765625"/>
    <w:rsid w:val="007668CB"/>
    <w:rsid w:val="007769B5"/>
    <w:rsid w:val="00777EED"/>
    <w:rsid w:val="00781B85"/>
    <w:rsid w:val="007820A4"/>
    <w:rsid w:val="007A45B9"/>
    <w:rsid w:val="007A59EB"/>
    <w:rsid w:val="007B3151"/>
    <w:rsid w:val="007B6702"/>
    <w:rsid w:val="007B6EE7"/>
    <w:rsid w:val="007E30F0"/>
    <w:rsid w:val="007F3AA7"/>
    <w:rsid w:val="007F5C4E"/>
    <w:rsid w:val="0080335D"/>
    <w:rsid w:val="0081404B"/>
    <w:rsid w:val="008201D6"/>
    <w:rsid w:val="0082063C"/>
    <w:rsid w:val="00830C0D"/>
    <w:rsid w:val="00832776"/>
    <w:rsid w:val="0083611D"/>
    <w:rsid w:val="00843B3C"/>
    <w:rsid w:val="00845757"/>
    <w:rsid w:val="00861911"/>
    <w:rsid w:val="008633EF"/>
    <w:rsid w:val="00872FA9"/>
    <w:rsid w:val="00881804"/>
    <w:rsid w:val="008A455D"/>
    <w:rsid w:val="008A5852"/>
    <w:rsid w:val="008B1076"/>
    <w:rsid w:val="008B150F"/>
    <w:rsid w:val="008C6E08"/>
    <w:rsid w:val="008D5670"/>
    <w:rsid w:val="008E132B"/>
    <w:rsid w:val="008E4AEE"/>
    <w:rsid w:val="008F659A"/>
    <w:rsid w:val="00901DC4"/>
    <w:rsid w:val="009037DB"/>
    <w:rsid w:val="00906336"/>
    <w:rsid w:val="0090692F"/>
    <w:rsid w:val="0091603A"/>
    <w:rsid w:val="00917625"/>
    <w:rsid w:val="009308C0"/>
    <w:rsid w:val="009411DC"/>
    <w:rsid w:val="00946053"/>
    <w:rsid w:val="00947654"/>
    <w:rsid w:val="00952E81"/>
    <w:rsid w:val="009779D0"/>
    <w:rsid w:val="009856FB"/>
    <w:rsid w:val="00991993"/>
    <w:rsid w:val="0099679C"/>
    <w:rsid w:val="009A1538"/>
    <w:rsid w:val="009A6F0A"/>
    <w:rsid w:val="009B4E7E"/>
    <w:rsid w:val="009C1673"/>
    <w:rsid w:val="009D178A"/>
    <w:rsid w:val="009D2A7F"/>
    <w:rsid w:val="009E1F1D"/>
    <w:rsid w:val="009F2AC6"/>
    <w:rsid w:val="009F3A81"/>
    <w:rsid w:val="009F5907"/>
    <w:rsid w:val="009F70BB"/>
    <w:rsid w:val="00A01D8E"/>
    <w:rsid w:val="00A02680"/>
    <w:rsid w:val="00A07B79"/>
    <w:rsid w:val="00A12651"/>
    <w:rsid w:val="00A2362A"/>
    <w:rsid w:val="00A23E25"/>
    <w:rsid w:val="00A269B5"/>
    <w:rsid w:val="00A304AB"/>
    <w:rsid w:val="00A3297C"/>
    <w:rsid w:val="00A44663"/>
    <w:rsid w:val="00A45DF7"/>
    <w:rsid w:val="00A54AD5"/>
    <w:rsid w:val="00A550AF"/>
    <w:rsid w:val="00A55872"/>
    <w:rsid w:val="00A5622B"/>
    <w:rsid w:val="00A60054"/>
    <w:rsid w:val="00A615E5"/>
    <w:rsid w:val="00A619A0"/>
    <w:rsid w:val="00A76E9D"/>
    <w:rsid w:val="00A82751"/>
    <w:rsid w:val="00A834CA"/>
    <w:rsid w:val="00A919F9"/>
    <w:rsid w:val="00A91C4E"/>
    <w:rsid w:val="00A948A1"/>
    <w:rsid w:val="00AA21F0"/>
    <w:rsid w:val="00AA2898"/>
    <w:rsid w:val="00AA7630"/>
    <w:rsid w:val="00AC04DB"/>
    <w:rsid w:val="00AC5EEB"/>
    <w:rsid w:val="00AD055A"/>
    <w:rsid w:val="00AD0615"/>
    <w:rsid w:val="00AD1C79"/>
    <w:rsid w:val="00AD76D3"/>
    <w:rsid w:val="00AE7C98"/>
    <w:rsid w:val="00AF78D5"/>
    <w:rsid w:val="00B02F88"/>
    <w:rsid w:val="00B03EA1"/>
    <w:rsid w:val="00B05F98"/>
    <w:rsid w:val="00B10ECF"/>
    <w:rsid w:val="00B11294"/>
    <w:rsid w:val="00B1600F"/>
    <w:rsid w:val="00B21556"/>
    <w:rsid w:val="00B2287C"/>
    <w:rsid w:val="00B36E59"/>
    <w:rsid w:val="00B3718B"/>
    <w:rsid w:val="00B44C45"/>
    <w:rsid w:val="00B47B98"/>
    <w:rsid w:val="00B508DD"/>
    <w:rsid w:val="00B50CAA"/>
    <w:rsid w:val="00B56C07"/>
    <w:rsid w:val="00B62799"/>
    <w:rsid w:val="00B66CB3"/>
    <w:rsid w:val="00B75AF4"/>
    <w:rsid w:val="00B922EF"/>
    <w:rsid w:val="00B9361B"/>
    <w:rsid w:val="00B947C8"/>
    <w:rsid w:val="00BA26EC"/>
    <w:rsid w:val="00BA5615"/>
    <w:rsid w:val="00BA5C2F"/>
    <w:rsid w:val="00BA61F0"/>
    <w:rsid w:val="00BB73E4"/>
    <w:rsid w:val="00BC129B"/>
    <w:rsid w:val="00BC1432"/>
    <w:rsid w:val="00BC6CC2"/>
    <w:rsid w:val="00BD662F"/>
    <w:rsid w:val="00BD70DB"/>
    <w:rsid w:val="00BE521D"/>
    <w:rsid w:val="00BE7CAA"/>
    <w:rsid w:val="00BF1846"/>
    <w:rsid w:val="00C04324"/>
    <w:rsid w:val="00C05B14"/>
    <w:rsid w:val="00C11DFC"/>
    <w:rsid w:val="00C139BF"/>
    <w:rsid w:val="00C350EF"/>
    <w:rsid w:val="00C459E7"/>
    <w:rsid w:val="00C54298"/>
    <w:rsid w:val="00C62F4F"/>
    <w:rsid w:val="00C64352"/>
    <w:rsid w:val="00C658E9"/>
    <w:rsid w:val="00C70EA1"/>
    <w:rsid w:val="00C740D6"/>
    <w:rsid w:val="00C74E62"/>
    <w:rsid w:val="00C7734C"/>
    <w:rsid w:val="00C857D2"/>
    <w:rsid w:val="00CB202D"/>
    <w:rsid w:val="00CB6749"/>
    <w:rsid w:val="00CC5F3B"/>
    <w:rsid w:val="00CD14CF"/>
    <w:rsid w:val="00CE3A0B"/>
    <w:rsid w:val="00CF02B9"/>
    <w:rsid w:val="00CF5E82"/>
    <w:rsid w:val="00CF65DB"/>
    <w:rsid w:val="00CF68EC"/>
    <w:rsid w:val="00D06821"/>
    <w:rsid w:val="00D14D05"/>
    <w:rsid w:val="00D24BC1"/>
    <w:rsid w:val="00D30F67"/>
    <w:rsid w:val="00D323E9"/>
    <w:rsid w:val="00D32BCB"/>
    <w:rsid w:val="00D373D7"/>
    <w:rsid w:val="00D462B2"/>
    <w:rsid w:val="00D466DE"/>
    <w:rsid w:val="00D5331B"/>
    <w:rsid w:val="00D61EA3"/>
    <w:rsid w:val="00D744C1"/>
    <w:rsid w:val="00D80452"/>
    <w:rsid w:val="00D86189"/>
    <w:rsid w:val="00D95836"/>
    <w:rsid w:val="00DA05EE"/>
    <w:rsid w:val="00DA0FA6"/>
    <w:rsid w:val="00DA3CCD"/>
    <w:rsid w:val="00DB4DAD"/>
    <w:rsid w:val="00DC49F3"/>
    <w:rsid w:val="00DC66BE"/>
    <w:rsid w:val="00DD1797"/>
    <w:rsid w:val="00DD26F9"/>
    <w:rsid w:val="00DF157A"/>
    <w:rsid w:val="00DF4AEE"/>
    <w:rsid w:val="00DF531F"/>
    <w:rsid w:val="00E0293D"/>
    <w:rsid w:val="00E06580"/>
    <w:rsid w:val="00E06824"/>
    <w:rsid w:val="00E2537F"/>
    <w:rsid w:val="00E265DE"/>
    <w:rsid w:val="00E31257"/>
    <w:rsid w:val="00E37847"/>
    <w:rsid w:val="00E43A93"/>
    <w:rsid w:val="00E61EEA"/>
    <w:rsid w:val="00E647A9"/>
    <w:rsid w:val="00E722B0"/>
    <w:rsid w:val="00E73AF9"/>
    <w:rsid w:val="00E76A8F"/>
    <w:rsid w:val="00E809C0"/>
    <w:rsid w:val="00E8175B"/>
    <w:rsid w:val="00E819AF"/>
    <w:rsid w:val="00E861E1"/>
    <w:rsid w:val="00E95993"/>
    <w:rsid w:val="00EA26D3"/>
    <w:rsid w:val="00EA3302"/>
    <w:rsid w:val="00EA3619"/>
    <w:rsid w:val="00EA43D4"/>
    <w:rsid w:val="00EA55E1"/>
    <w:rsid w:val="00EB2C7B"/>
    <w:rsid w:val="00EC04AE"/>
    <w:rsid w:val="00ED3E31"/>
    <w:rsid w:val="00EE549F"/>
    <w:rsid w:val="00EE7AD0"/>
    <w:rsid w:val="00EE7C30"/>
    <w:rsid w:val="00EF5E30"/>
    <w:rsid w:val="00F110CD"/>
    <w:rsid w:val="00F13AE2"/>
    <w:rsid w:val="00F17FE0"/>
    <w:rsid w:val="00F3000F"/>
    <w:rsid w:val="00F37E3B"/>
    <w:rsid w:val="00F45B5F"/>
    <w:rsid w:val="00F471D0"/>
    <w:rsid w:val="00F53DBF"/>
    <w:rsid w:val="00F6444A"/>
    <w:rsid w:val="00F67DE4"/>
    <w:rsid w:val="00F75AF5"/>
    <w:rsid w:val="00F77C5A"/>
    <w:rsid w:val="00F81B35"/>
    <w:rsid w:val="00F92B25"/>
    <w:rsid w:val="00F942E9"/>
    <w:rsid w:val="00F96EAF"/>
    <w:rsid w:val="00FA726A"/>
    <w:rsid w:val="00FB7D66"/>
    <w:rsid w:val="00FC078C"/>
    <w:rsid w:val="00FC3F07"/>
    <w:rsid w:val="00FC44A9"/>
    <w:rsid w:val="00FC4DD2"/>
    <w:rsid w:val="00FC6FF4"/>
    <w:rsid w:val="00FD05EA"/>
    <w:rsid w:val="00FD0951"/>
    <w:rsid w:val="00FF0EDF"/>
    <w:rsid w:val="02CF1530"/>
    <w:rsid w:val="032A04FE"/>
    <w:rsid w:val="038C4224"/>
    <w:rsid w:val="038F4619"/>
    <w:rsid w:val="054B24BD"/>
    <w:rsid w:val="05EC2F5E"/>
    <w:rsid w:val="0601622D"/>
    <w:rsid w:val="0633258F"/>
    <w:rsid w:val="0699531B"/>
    <w:rsid w:val="06A96888"/>
    <w:rsid w:val="080537D9"/>
    <w:rsid w:val="08424CC2"/>
    <w:rsid w:val="09180A80"/>
    <w:rsid w:val="09812EE2"/>
    <w:rsid w:val="0B936AA0"/>
    <w:rsid w:val="0D4E0512"/>
    <w:rsid w:val="0F757665"/>
    <w:rsid w:val="10DF2393"/>
    <w:rsid w:val="1203469E"/>
    <w:rsid w:val="12B04CAC"/>
    <w:rsid w:val="12BF0E40"/>
    <w:rsid w:val="13196339"/>
    <w:rsid w:val="13E8206B"/>
    <w:rsid w:val="147751C3"/>
    <w:rsid w:val="14CF68C8"/>
    <w:rsid w:val="15962A4B"/>
    <w:rsid w:val="16221E97"/>
    <w:rsid w:val="16630929"/>
    <w:rsid w:val="16752573"/>
    <w:rsid w:val="16DB7F9F"/>
    <w:rsid w:val="17B44C3D"/>
    <w:rsid w:val="1942250A"/>
    <w:rsid w:val="196E5F19"/>
    <w:rsid w:val="19ED0221"/>
    <w:rsid w:val="1A2A393C"/>
    <w:rsid w:val="1AFD767F"/>
    <w:rsid w:val="1B8662D6"/>
    <w:rsid w:val="1C391AF5"/>
    <w:rsid w:val="1E8731BC"/>
    <w:rsid w:val="1ED53372"/>
    <w:rsid w:val="1F255163"/>
    <w:rsid w:val="1FDFA124"/>
    <w:rsid w:val="1FEF2020"/>
    <w:rsid w:val="20E36DAA"/>
    <w:rsid w:val="22175A07"/>
    <w:rsid w:val="22A61C78"/>
    <w:rsid w:val="22B91F8D"/>
    <w:rsid w:val="22CB64B5"/>
    <w:rsid w:val="2388668D"/>
    <w:rsid w:val="25654920"/>
    <w:rsid w:val="257E68C1"/>
    <w:rsid w:val="266106AA"/>
    <w:rsid w:val="28063D9C"/>
    <w:rsid w:val="28A64EF3"/>
    <w:rsid w:val="29F00DA2"/>
    <w:rsid w:val="2A7A0EA1"/>
    <w:rsid w:val="2A8F29E5"/>
    <w:rsid w:val="2B9B6EBC"/>
    <w:rsid w:val="2DAC7B7D"/>
    <w:rsid w:val="2E9806CA"/>
    <w:rsid w:val="2F9C7A27"/>
    <w:rsid w:val="2FC112D3"/>
    <w:rsid w:val="302443A5"/>
    <w:rsid w:val="30263C27"/>
    <w:rsid w:val="31345468"/>
    <w:rsid w:val="31B265A7"/>
    <w:rsid w:val="33E4128E"/>
    <w:rsid w:val="353B33D0"/>
    <w:rsid w:val="35C00574"/>
    <w:rsid w:val="35DC557B"/>
    <w:rsid w:val="360360A2"/>
    <w:rsid w:val="36F74681"/>
    <w:rsid w:val="3753249D"/>
    <w:rsid w:val="38746130"/>
    <w:rsid w:val="38C869A8"/>
    <w:rsid w:val="39902790"/>
    <w:rsid w:val="3AA44DF7"/>
    <w:rsid w:val="3B8218F1"/>
    <w:rsid w:val="3B9700CA"/>
    <w:rsid w:val="3BCE79BA"/>
    <w:rsid w:val="3D1F5B04"/>
    <w:rsid w:val="3D3448AB"/>
    <w:rsid w:val="3F5FC8A1"/>
    <w:rsid w:val="408C773C"/>
    <w:rsid w:val="41306DD5"/>
    <w:rsid w:val="42137035"/>
    <w:rsid w:val="42301414"/>
    <w:rsid w:val="429E7A4A"/>
    <w:rsid w:val="43BA034C"/>
    <w:rsid w:val="43D21B33"/>
    <w:rsid w:val="44EB1528"/>
    <w:rsid w:val="454A30C7"/>
    <w:rsid w:val="458C0996"/>
    <w:rsid w:val="4654047F"/>
    <w:rsid w:val="4679498B"/>
    <w:rsid w:val="47835F3B"/>
    <w:rsid w:val="48184B4F"/>
    <w:rsid w:val="488425C5"/>
    <w:rsid w:val="49C90D47"/>
    <w:rsid w:val="49F922E9"/>
    <w:rsid w:val="4A2D4656"/>
    <w:rsid w:val="4B366445"/>
    <w:rsid w:val="4B7E341E"/>
    <w:rsid w:val="4D653FB6"/>
    <w:rsid w:val="4DB373B7"/>
    <w:rsid w:val="4DB375E9"/>
    <w:rsid w:val="4E355908"/>
    <w:rsid w:val="51BE2A0F"/>
    <w:rsid w:val="533865CF"/>
    <w:rsid w:val="535411C0"/>
    <w:rsid w:val="54ED1E00"/>
    <w:rsid w:val="55A6111D"/>
    <w:rsid w:val="55BF2C7E"/>
    <w:rsid w:val="57AB117F"/>
    <w:rsid w:val="58DE37BD"/>
    <w:rsid w:val="597E0742"/>
    <w:rsid w:val="5AA12575"/>
    <w:rsid w:val="5ABD2753"/>
    <w:rsid w:val="5AD8082F"/>
    <w:rsid w:val="5B307CEB"/>
    <w:rsid w:val="5B8C5BB8"/>
    <w:rsid w:val="5BA41B4A"/>
    <w:rsid w:val="5C14469A"/>
    <w:rsid w:val="5CED473A"/>
    <w:rsid w:val="5DB55A61"/>
    <w:rsid w:val="5DC43BA0"/>
    <w:rsid w:val="5E2D56A6"/>
    <w:rsid w:val="5E417AD5"/>
    <w:rsid w:val="5F2F7047"/>
    <w:rsid w:val="5FF20D84"/>
    <w:rsid w:val="614B6915"/>
    <w:rsid w:val="61B31098"/>
    <w:rsid w:val="63425475"/>
    <w:rsid w:val="63555DBD"/>
    <w:rsid w:val="64015EF6"/>
    <w:rsid w:val="656D7147"/>
    <w:rsid w:val="66CB3585"/>
    <w:rsid w:val="673779CF"/>
    <w:rsid w:val="676D700F"/>
    <w:rsid w:val="67E7395E"/>
    <w:rsid w:val="67EBB131"/>
    <w:rsid w:val="682B2C16"/>
    <w:rsid w:val="69313D5F"/>
    <w:rsid w:val="69795678"/>
    <w:rsid w:val="6AC3083A"/>
    <w:rsid w:val="6AD77907"/>
    <w:rsid w:val="6B77B6E3"/>
    <w:rsid w:val="6BEEF9C8"/>
    <w:rsid w:val="6C2A11E1"/>
    <w:rsid w:val="6C802152"/>
    <w:rsid w:val="6E19616C"/>
    <w:rsid w:val="6F0761C0"/>
    <w:rsid w:val="6F973F55"/>
    <w:rsid w:val="6FBE3FDD"/>
    <w:rsid w:val="7050674F"/>
    <w:rsid w:val="70722475"/>
    <w:rsid w:val="7123130D"/>
    <w:rsid w:val="7172073E"/>
    <w:rsid w:val="71CF0BF6"/>
    <w:rsid w:val="728C08AA"/>
    <w:rsid w:val="735F36A4"/>
    <w:rsid w:val="73E64834"/>
    <w:rsid w:val="747A33D8"/>
    <w:rsid w:val="74B97DFE"/>
    <w:rsid w:val="750D1848"/>
    <w:rsid w:val="75A402AC"/>
    <w:rsid w:val="768017F5"/>
    <w:rsid w:val="78D51BD2"/>
    <w:rsid w:val="78F83707"/>
    <w:rsid w:val="7906392B"/>
    <w:rsid w:val="79B2527D"/>
    <w:rsid w:val="79D367DD"/>
    <w:rsid w:val="7CA448CC"/>
    <w:rsid w:val="7D9745BC"/>
    <w:rsid w:val="7DE03643"/>
    <w:rsid w:val="7DEA3814"/>
    <w:rsid w:val="7E5B35D2"/>
    <w:rsid w:val="7F052C69"/>
    <w:rsid w:val="7FBE7A38"/>
    <w:rsid w:val="7FCD7E74"/>
    <w:rsid w:val="7FFC9643"/>
    <w:rsid w:val="93CBEE97"/>
    <w:rsid w:val="BBEFEDBE"/>
    <w:rsid w:val="BEF50A1C"/>
    <w:rsid w:val="D5574F21"/>
    <w:rsid w:val="DFFE050F"/>
    <w:rsid w:val="E7FF1275"/>
    <w:rsid w:val="F39F023F"/>
    <w:rsid w:val="FF7F8A37"/>
    <w:rsid w:val="FFD65CBF"/>
    <w:rsid w:val="FFFF7B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qFormat="1"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黑体"/>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cs="宋体"/>
      <w:szCs w:val="21"/>
      <w:lang w:val="zh-CN" w:bidi="zh-CN"/>
    </w:rPr>
  </w:style>
  <w:style w:type="paragraph" w:styleId="3">
    <w:name w:val="annotation text"/>
    <w:basedOn w:val="1"/>
    <w:link w:val="21"/>
    <w:unhideWhenUsed/>
    <w:qFormat/>
    <w:uiPriority w:val="99"/>
    <w:pPr>
      <w:jc w:val="left"/>
    </w:pPr>
  </w:style>
  <w:style w:type="paragraph" w:styleId="4">
    <w:name w:val="Balloon Text"/>
    <w:basedOn w:val="1"/>
    <w:link w:val="20"/>
    <w:unhideWhenUsed/>
    <w:qFormat/>
    <w:uiPriority w:val="99"/>
    <w:pPr>
      <w:spacing w:line="240" w:lineRule="auto"/>
    </w:pPr>
    <w:rPr>
      <w:sz w:val="18"/>
      <w:szCs w:val="18"/>
    </w:rPr>
  </w:style>
  <w:style w:type="paragraph" w:styleId="5">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footnote text"/>
    <w:basedOn w:val="1"/>
    <w:semiHidden/>
    <w:unhideWhenUsed/>
    <w:qFormat/>
    <w:uiPriority w:val="99"/>
    <w:pPr>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22"/>
    <w:unhideWhenUsed/>
    <w:qFormat/>
    <w:uiPriority w:val="99"/>
    <w:rPr>
      <w:b/>
      <w:bCs/>
    </w:rPr>
  </w:style>
  <w:style w:type="character" w:styleId="12">
    <w:name w:val="endnote reference"/>
    <w:basedOn w:val="11"/>
    <w:semiHidden/>
    <w:unhideWhenUsed/>
    <w:qFormat/>
    <w:uiPriority w:val="99"/>
    <w:rPr>
      <w:vertAlign w:val="superscript"/>
    </w:rPr>
  </w:style>
  <w:style w:type="character" w:styleId="13">
    <w:name w:val="page number"/>
    <w:basedOn w:val="11"/>
    <w:semiHidden/>
    <w:unhideWhenUsed/>
    <w:qFormat/>
    <w:uiPriority w:val="99"/>
  </w:style>
  <w:style w:type="character" w:styleId="14">
    <w:name w:val="annotation reference"/>
    <w:basedOn w:val="11"/>
    <w:unhideWhenUsed/>
    <w:qFormat/>
    <w:uiPriority w:val="99"/>
    <w:rPr>
      <w:sz w:val="21"/>
      <w:szCs w:val="21"/>
    </w:rPr>
  </w:style>
  <w:style w:type="character" w:styleId="15">
    <w:name w:val="footnote reference"/>
    <w:basedOn w:val="11"/>
    <w:semiHidden/>
    <w:unhideWhenUsed/>
    <w:qFormat/>
    <w:uiPriority w:val="99"/>
    <w:rPr>
      <w:vertAlign w:val="superscript"/>
    </w:rPr>
  </w:style>
  <w:style w:type="paragraph" w:customStyle="1" w:styleId="16">
    <w:name w:val="through-content"/>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17">
    <w:name w:val="列出段落1"/>
    <w:basedOn w:val="1"/>
    <w:qFormat/>
    <w:uiPriority w:val="99"/>
    <w:pPr>
      <w:ind w:firstLine="420" w:firstLineChars="200"/>
    </w:pPr>
  </w:style>
  <w:style w:type="character" w:customStyle="1" w:styleId="18">
    <w:name w:val="页眉 Char"/>
    <w:basedOn w:val="11"/>
    <w:link w:val="6"/>
    <w:qFormat/>
    <w:uiPriority w:val="99"/>
    <w:rPr>
      <w:sz w:val="18"/>
      <w:szCs w:val="18"/>
    </w:rPr>
  </w:style>
  <w:style w:type="character" w:customStyle="1" w:styleId="19">
    <w:name w:val="页脚 Char"/>
    <w:basedOn w:val="11"/>
    <w:link w:val="5"/>
    <w:qFormat/>
    <w:uiPriority w:val="99"/>
    <w:rPr>
      <w:sz w:val="18"/>
      <w:szCs w:val="18"/>
    </w:rPr>
  </w:style>
  <w:style w:type="character" w:customStyle="1" w:styleId="20">
    <w:name w:val="批注框文本 Char"/>
    <w:basedOn w:val="11"/>
    <w:link w:val="4"/>
    <w:semiHidden/>
    <w:qFormat/>
    <w:uiPriority w:val="99"/>
    <w:rPr>
      <w:sz w:val="18"/>
      <w:szCs w:val="18"/>
    </w:rPr>
  </w:style>
  <w:style w:type="character" w:customStyle="1" w:styleId="21">
    <w:name w:val="批注文字 Char"/>
    <w:basedOn w:val="11"/>
    <w:link w:val="3"/>
    <w:semiHidden/>
    <w:qFormat/>
    <w:uiPriority w:val="99"/>
    <w:rPr>
      <w:rFonts w:ascii="Calibri" w:hAnsi="Calibri" w:eastAsia="宋体" w:cs="黑体"/>
      <w:kern w:val="2"/>
      <w:sz w:val="21"/>
      <w:szCs w:val="22"/>
    </w:rPr>
  </w:style>
  <w:style w:type="character" w:customStyle="1" w:styleId="22">
    <w:name w:val="批注主题 Char"/>
    <w:basedOn w:val="21"/>
    <w:link w:val="9"/>
    <w:qFormat/>
    <w:uiPriority w:val="0"/>
    <w:rPr>
      <w:rFonts w:ascii="Calibri" w:hAnsi="Calibri" w:eastAsia="宋体" w:cs="黑体"/>
      <w:kern w:val="2"/>
      <w:sz w:val="21"/>
      <w:szCs w:val="22"/>
    </w:rPr>
  </w:style>
  <w:style w:type="paragraph" w:customStyle="1" w:styleId="23">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1251</Words>
  <Characters>7131</Characters>
  <Lines>59</Lines>
  <Paragraphs>16</Paragraphs>
  <TotalTime>5</TotalTime>
  <ScaleCrop>false</ScaleCrop>
  <LinksUpToDate>false</LinksUpToDate>
  <CharactersWithSpaces>8366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2021-08-19T18:31:00Z</dcterms:created>
  <dc:creator>David</dc:creator>
  <cp:lastModifiedBy>user</cp:lastModifiedBy>
  <cp:lastPrinted>2021-07-20T22:41:00Z</cp:lastPrinted>
  <dcterms:modified xsi:type="dcterms:W3CDTF">2021-10-08T11:05:06Z</dcterms:modified>
  <dc:title>深圳市      区      街道     物业管理区域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A553C43C14974D6D95713337FBBD22DA</vt:lpwstr>
  </property>
</Properties>
</file>